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CASO PRÁTICO COMPLETO  |  15 CAPÍTULOS</w:t>
      </w:r>
    </w:p>
    <w:p>
      <w:pPr>
        <w:pStyle w:val="Title"/>
      </w:pPr>
      <w:r>
        <w:t>NATIVA</w:t>
      </w:r>
    </w:p>
    <w:p>
      <w:pPr>
        <w:pStyle w:val="Subtitle"/>
      </w:pPr>
      <w:r>
        <w:t>Plano de Negócios — Cosmética Portuguesa de Origem Natural</w:t>
      </w:r>
    </w:p>
    <w:p>
      <w:r>
        <w:t>Estratégia • Mercado • Produto • Marketing • Operações • Viabilidade • Tesouraria • Cenários</w:t>
      </w:r>
    </w:p>
    <w:p>
      <w:r>
        <w:t>Luís Valente 360° | Consultoria de Gestão e Negócios</w:t>
      </w:r>
    </w:p>
    <w:p>
      <w:r>
        <w:t>Edição demonstrativa — novembro de 2026</w:t>
      </w:r>
    </w:p>
    <w:p>
      <w:r>
        <w:t>AVISO ESSENCIAL: NATIVA é uma empresa fictícia. Produtos, preços, volumes, margens, concorrentes-modelo e previsões são hipóteses educativas, não dados reais, estimativas de mercado validadas, promessa de resultados ou aconselhamento fiscal, financeiro ou regulatório.</w:t>
      </w:r>
    </w:p>
    <w:p>
      <w:r>
        <w:br w:type="page"/>
      </w:r>
    </w:p>
    <w:p>
      <w:pPr>
        <w:pStyle w:val="Heading1"/>
      </w:pPr>
      <w:r>
        <w:t>Índice e leitura do caso</w:t>
      </w:r>
    </w:p>
    <w:p>
      <w:r>
        <w:t>1. Sumário executivo</w:t>
      </w:r>
    </w:p>
    <w:p>
      <w:r>
        <w:t>2. Empresa e oportunidade</w:t>
      </w:r>
    </w:p>
    <w:p>
      <w:r>
        <w:t>3. Modelo de negócio e criação de valor</w:t>
      </w:r>
    </w:p>
    <w:p>
      <w:r>
        <w:t>4. Estudo de mercado, clientes e tendências</w:t>
      </w:r>
    </w:p>
    <w:p>
      <w:r>
        <w:t>5. Concorrência e posicionamento competitivo</w:t>
      </w:r>
    </w:p>
    <w:p>
      <w:r>
        <w:t>6. Proposta de valor, produtos e serviços</w:t>
      </w:r>
    </w:p>
    <w:p>
      <w:r>
        <w:t>7. Estratégia empresarial e objetivos</w:t>
      </w:r>
    </w:p>
    <w:p>
      <w:r>
        <w:t>8. Plano de marketing, comunicação e vendas</w:t>
      </w:r>
    </w:p>
    <w:p>
      <w:r>
        <w:t>9. Organização, recursos humanos e operações</w:t>
      </w:r>
    </w:p>
    <w:p>
      <w:r>
        <w:t>10. Investimento inicial e financiamento</w:t>
      </w:r>
    </w:p>
    <w:p>
      <w:r>
        <w:t>11. Projeções financeiras e tesouraria</w:t>
      </w:r>
    </w:p>
    <w:p>
      <w:r>
        <w:t>12. Viabilidade do investimento</w:t>
      </w:r>
    </w:p>
    <w:p>
      <w:r>
        <w:t>13. Riscos e cenários</w:t>
      </w:r>
    </w:p>
    <w:p>
      <w:r>
        <w:t>14. Implementação e KPIs</w:t>
      </w:r>
    </w:p>
    <w:p>
      <w:r>
        <w:t>15. Monitorização, revisão e decisão</w:t>
      </w:r>
    </w:p>
    <w:p>
      <w:r>
        <w:t>Como utilizar: ler o caso em conjunto com o ficheiro Excel NATIVA. Alterar os pressupostos editáveis no Excel para compreender os efeitos sobre vendas, resultados e caixa. Os valores financeiros deste documento representam o cenário-base inicial do Excel.</w:t>
      </w:r>
    </w:p>
    <w:p>
      <w:pPr>
        <w:pStyle w:val="Heading1"/>
      </w:pPr>
      <w:r>
        <w:t>1. Sumário executivo</w:t>
      </w:r>
    </w:p>
    <w:p>
      <w:r>
        <w:t>A NATIVA é uma empresa portuguesa fictícia de cosmética facial que pretende lançar três produtos através de e-commerce próprio (65% das unidades) e canais grossistas selecionados (35%). O posicionamento combina clareza de formulação, experiência de compra simples e informação de produto compreensível. A produção será subcontratada a parceiro qualificado, enquanto a empresa assume gestão de marca, marketing, distribuição e acompanhamento do cliente.</w:t>
      </w:r>
    </w:p>
    <w:p>
      <w:r>
        <w:t>O projeto prevê investimento inicial em ativos de 35 000 € e stock de 45 000 €, financiados por 120 000 € de capital próprio e 60 000 € de empréstimo. A diferença, 100 000 €, constitui uma reserva de liquidez inicial. O cenário-base contempla 23 900 unidades no primeiro ano e receitas de 362 607 € sem IVA, com EBITDA de 54 068 €. Estas projeções não foram validadas comercialmente.</w:t>
      </w:r>
    </w:p>
    <w:p>
      <w:r>
        <w:t>Decisão proposta: avançar apenas por fases, sujeito a validação de procura, negociação de custos efetivos, conformidade cosmética e disponibilidade de tesouraria em cenários adversos.</w:t>
      </w:r>
    </w:p>
    <w:p>
      <w:pPr>
        <w:pStyle w:val="Heading1"/>
      </w:pPr>
      <w:r>
        <w:t>2. Empresa e oportunidade de negócio</w:t>
      </w:r>
    </w:p>
    <w:p>
      <w:r>
        <w:t>Designação didática: NATIVA. Atividade: desenvolvimento de marca, comercialização online e distribuição seletiva de produtos cosméticos fabricados por terceiros. Estrutura jurídica portuguesa, licenças, contrato social, titularidade da marca e condições fiscais terão de ser definidos num projeto real.</w:t>
      </w:r>
    </w:p>
    <w:p>
      <w:r>
        <w:t>Problema a resolver: consumidores interessados em rotinas de cuidados de pele simples podem sentir dificuldades em comparar benefícios, ingredientes e utilização de produtos. A NATIVA pretende reduzir essa complexidade por meio de uma gama curta, comunicação transparente e experiência digital clara.</w:t>
      </w:r>
    </w:p>
    <w:p>
      <w:r>
        <w:t>Hipóteses de validação: testar interesse efetivo com entrevistas, amostras piloto conformes, páginas de pré-lançamento e encomendas de teste; recolher evidências sobre recompra, preço e qualidade percebida antes de aumentar investimento.</w:t>
      </w:r>
    </w:p>
    <w:p>
      <w:pPr>
        <w:pStyle w:val="Heading1"/>
      </w:pPr>
      <w:r>
        <w:t>3. Modelo de negócio e criação de valor</w:t>
      </w:r>
    </w:p>
    <w:tbl>
      <w:tblPr>
        <w:tblStyle w:val="LightShading-Accent1"/>
        <w:tblW w:type="auto" w:w="0"/>
        <w:jc w:val="center"/>
        <w:tblLook w:firstColumn="1" w:firstRow="1" w:lastColumn="0" w:lastRow="0" w:noHBand="0" w:noVBand="1" w:val="04A0"/>
      </w:tblPr>
      <w:tblGrid>
        <w:gridCol w:w="4759"/>
        <w:gridCol w:w="4759"/>
      </w:tblGrid>
      <w:tr>
        <w:tc>
          <w:tcPr>
            <w:tcW w:type="dxa" w:w="4759"/>
            <w:vAlign w:val="center"/>
          </w:tcPr>
          <w:p>
            <w:pPr>
              <w:spacing w:after="20"/>
            </w:pPr>
            <w:r>
              <w:rPr>
                <w:sz w:val="16"/>
              </w:rPr>
              <w:t>Componente</w:t>
            </w:r>
          </w:p>
        </w:tc>
        <w:tc>
          <w:tcPr>
            <w:tcW w:type="dxa" w:w="4759"/>
            <w:vAlign w:val="center"/>
          </w:tcPr>
          <w:p>
            <w:pPr>
              <w:spacing w:after="20"/>
            </w:pPr>
            <w:r>
              <w:rPr>
                <w:sz w:val="16"/>
              </w:rPr>
              <w:t>Hipótese NATIVA</w:t>
            </w:r>
          </w:p>
        </w:tc>
      </w:tr>
      <w:tr>
        <w:tc>
          <w:tcPr>
            <w:tcW w:type="dxa" w:w="4759"/>
            <w:vAlign w:val="center"/>
          </w:tcPr>
          <w:p>
            <w:pPr>
              <w:spacing w:after="20"/>
            </w:pPr>
            <w:r>
              <w:rPr>
                <w:sz w:val="16"/>
              </w:rPr>
              <w:t>Cliente</w:t>
            </w:r>
          </w:p>
        </w:tc>
        <w:tc>
          <w:tcPr>
            <w:tcW w:type="dxa" w:w="4759"/>
            <w:vAlign w:val="center"/>
          </w:tcPr>
          <w:p>
            <w:pPr>
              <w:spacing w:after="20"/>
            </w:pPr>
            <w:r>
              <w:rPr>
                <w:sz w:val="16"/>
              </w:rPr>
              <w:t>Adultos interessados em cuidados faciais simples; segmento ainda por validar</w:t>
            </w:r>
          </w:p>
        </w:tc>
      </w:tr>
      <w:tr>
        <w:tc>
          <w:tcPr>
            <w:tcW w:type="dxa" w:w="4759"/>
            <w:vAlign w:val="center"/>
          </w:tcPr>
          <w:p>
            <w:pPr>
              <w:spacing w:after="20"/>
            </w:pPr>
            <w:r>
              <w:rPr>
                <w:sz w:val="16"/>
              </w:rPr>
              <w:t>Canais</w:t>
            </w:r>
          </w:p>
        </w:tc>
        <w:tc>
          <w:tcPr>
            <w:tcW w:type="dxa" w:w="4759"/>
            <w:vAlign w:val="center"/>
          </w:tcPr>
          <w:p>
            <w:pPr>
              <w:spacing w:after="20"/>
            </w:pPr>
            <w:r>
              <w:rPr>
                <w:sz w:val="16"/>
              </w:rPr>
              <w:t>Loja online própria (65% unidades); grossistas/farmácias e lojas selecionadas (35%)</w:t>
            </w:r>
          </w:p>
        </w:tc>
      </w:tr>
      <w:tr>
        <w:tc>
          <w:tcPr>
            <w:tcW w:type="dxa" w:w="4759"/>
            <w:vAlign w:val="center"/>
          </w:tcPr>
          <w:p>
            <w:pPr>
              <w:spacing w:after="20"/>
            </w:pPr>
            <w:r>
              <w:rPr>
                <w:sz w:val="16"/>
              </w:rPr>
              <w:t>Receitas</w:t>
            </w:r>
          </w:p>
        </w:tc>
        <w:tc>
          <w:tcPr>
            <w:tcW w:type="dxa" w:w="4759"/>
            <w:vAlign w:val="center"/>
          </w:tcPr>
          <w:p>
            <w:pPr>
              <w:spacing w:after="20"/>
            </w:pPr>
            <w:r>
              <w:rPr>
                <w:sz w:val="16"/>
              </w:rPr>
              <w:t>Venda unitária de três produtos; sem subscrição no lançamento</w:t>
            </w:r>
          </w:p>
        </w:tc>
      </w:tr>
      <w:tr>
        <w:tc>
          <w:tcPr>
            <w:tcW w:type="dxa" w:w="4759"/>
            <w:vAlign w:val="center"/>
          </w:tcPr>
          <w:p>
            <w:pPr>
              <w:spacing w:after="20"/>
            </w:pPr>
            <w:r>
              <w:rPr>
                <w:sz w:val="16"/>
              </w:rPr>
              <w:t>Parceiros</w:t>
            </w:r>
          </w:p>
        </w:tc>
        <w:tc>
          <w:tcPr>
            <w:tcW w:type="dxa" w:w="4759"/>
            <w:vAlign w:val="center"/>
          </w:tcPr>
          <w:p>
            <w:pPr>
              <w:spacing w:after="20"/>
            </w:pPr>
            <w:r>
              <w:rPr>
                <w:sz w:val="16"/>
              </w:rPr>
              <w:t>Fabricante contratado, logística, laboratório/avaliador de segurança, suporte jurídico</w:t>
            </w:r>
          </w:p>
        </w:tc>
      </w:tr>
      <w:tr>
        <w:tc>
          <w:tcPr>
            <w:tcW w:type="dxa" w:w="4759"/>
            <w:vAlign w:val="center"/>
          </w:tcPr>
          <w:p>
            <w:pPr>
              <w:spacing w:after="20"/>
            </w:pPr>
            <w:r>
              <w:rPr>
                <w:sz w:val="16"/>
              </w:rPr>
              <w:t>Recursos</w:t>
            </w:r>
          </w:p>
        </w:tc>
        <w:tc>
          <w:tcPr>
            <w:tcW w:type="dxa" w:w="4759"/>
            <w:vAlign w:val="center"/>
          </w:tcPr>
          <w:p>
            <w:pPr>
              <w:spacing w:after="20"/>
            </w:pPr>
            <w:r>
              <w:rPr>
                <w:sz w:val="16"/>
              </w:rPr>
              <w:t>Marca, catálogo, loja, conteúdos, dados CRM com consentimento e capital circulante</w:t>
            </w:r>
          </w:p>
        </w:tc>
      </w:tr>
      <w:tr>
        <w:tc>
          <w:tcPr>
            <w:tcW w:type="dxa" w:w="4759"/>
            <w:vAlign w:val="center"/>
          </w:tcPr>
          <w:p>
            <w:pPr>
              <w:spacing w:after="20"/>
            </w:pPr>
            <w:r>
              <w:rPr>
                <w:sz w:val="16"/>
              </w:rPr>
              <w:t>Atividades</w:t>
            </w:r>
          </w:p>
        </w:tc>
        <w:tc>
          <w:tcPr>
            <w:tcW w:type="dxa" w:w="4759"/>
            <w:vAlign w:val="center"/>
          </w:tcPr>
          <w:p>
            <w:pPr>
              <w:spacing w:after="20"/>
            </w:pPr>
            <w:r>
              <w:rPr>
                <w:sz w:val="16"/>
              </w:rPr>
              <w:t>Marketing, gestão de fornecedores, qualidade, apoio ao cliente, forecasting e análise financeira</w:t>
            </w:r>
          </w:p>
        </w:tc>
      </w:tr>
    </w:tbl>
    <w:p>
      <w:r>
        <w:t>A repartição 65%/35% é um pressuposto central: o canal direto apresenta receita por unidade superior, mas exige aquisição de tráfego, apoio ao cliente e comissões; o grossista gera menor receita por unidade, mas pode contribuir para cobertura de mercado. A rentabilidade deve ser avaliada por canal.</w:t>
      </w:r>
    </w:p>
    <w:p>
      <w:pPr>
        <w:pStyle w:val="Heading1"/>
      </w:pPr>
      <w:r>
        <w:t>4. Estudo de mercado, clientes e tendências</w:t>
      </w:r>
    </w:p>
    <w:p>
      <w:r>
        <w:t>Mercado-alvo: Portugal, com foco inicial em vendas digitais para consumidores urbanos e pontos de venda independentes. O tamanho de mercado, a quota acessível e a procura não são quantificados neste exemplo por falta de investigação primária ou bases estatísticas específicas verificadas. Não se deve tratar a previsão interna de vendas como prova de dimensão de mercado.</w:t>
      </w:r>
    </w:p>
    <w:p>
      <w:r>
        <w:t>Segmentação: consumidor que procura rotina essencial, consumidor que compara ingredientes e benefícios e consumidor orientado para conveniência. Entrevistas devem investigar motivação, orçamento, marcas concorrentes, barreiras à primeira compra e intenção de recompra. Definir TAM, SAM e SOM apenas após validar fontes e critérios.</w:t>
      </w:r>
    </w:p>
    <w:p>
      <w:r>
        <w:t>Investigação recomendada: 20–30 entrevistas exploratórias, teste qualitativo da comunicação e um piloto comercial com tamanho adequado à decisão; comparar respostas declaradas com comportamentos de compra observados.</w:t>
      </w:r>
    </w:p>
    <w:p>
      <w:pPr>
        <w:pStyle w:val="Heading1"/>
      </w:pPr>
      <w:r>
        <w:t>5. Concorrência e posicionamento competitivo</w:t>
      </w:r>
    </w:p>
    <w:p>
      <w:r>
        <w:t>A NATIVA compete, em princípio, com marcas de cosmética de farmácia, marcas próprias de distribuição e lojas digitais especializadas. Em vez de atribuir quotas fictícias a empresas reais, o caso usa uma grelha de análise competitiva a preencher após pesquisa de preços e propostas reais.</w:t>
      </w:r>
    </w:p>
    <w:tbl>
      <w:tblPr>
        <w:tblStyle w:val="LightShading-Accent1"/>
        <w:tblW w:type="auto" w:w="0"/>
        <w:jc w:val="center"/>
        <w:tblLook w:firstColumn="1" w:firstRow="1" w:lastColumn="0" w:lastRow="0" w:noHBand="0" w:noVBand="1" w:val="04A0"/>
      </w:tblPr>
      <w:tblGrid>
        <w:gridCol w:w="3173"/>
        <w:gridCol w:w="3173"/>
        <w:gridCol w:w="3173"/>
      </w:tblGrid>
      <w:tr>
        <w:tc>
          <w:tcPr>
            <w:tcW w:type="dxa" w:w="3173"/>
            <w:vAlign w:val="center"/>
          </w:tcPr>
          <w:p>
            <w:pPr>
              <w:spacing w:after="20"/>
            </w:pPr>
            <w:r>
              <w:rPr>
                <w:sz w:val="16"/>
              </w:rPr>
              <w:t>Critério</w:t>
            </w:r>
          </w:p>
        </w:tc>
        <w:tc>
          <w:tcPr>
            <w:tcW w:type="dxa" w:w="3173"/>
            <w:vAlign w:val="center"/>
          </w:tcPr>
          <w:p>
            <w:pPr>
              <w:spacing w:after="20"/>
            </w:pPr>
            <w:r>
              <w:rPr>
                <w:sz w:val="16"/>
              </w:rPr>
              <w:t>NATIVA (objetivo)</w:t>
            </w:r>
          </w:p>
        </w:tc>
        <w:tc>
          <w:tcPr>
            <w:tcW w:type="dxa" w:w="3173"/>
            <w:vAlign w:val="center"/>
          </w:tcPr>
          <w:p>
            <w:pPr>
              <w:spacing w:after="20"/>
            </w:pPr>
            <w:r>
              <w:rPr>
                <w:sz w:val="16"/>
              </w:rPr>
              <w:t>Como validar</w:t>
            </w:r>
          </w:p>
        </w:tc>
      </w:tr>
      <w:tr>
        <w:tc>
          <w:tcPr>
            <w:tcW w:type="dxa" w:w="3173"/>
            <w:vAlign w:val="center"/>
          </w:tcPr>
          <w:p>
            <w:pPr>
              <w:spacing w:after="20"/>
            </w:pPr>
            <w:r>
              <w:rPr>
                <w:sz w:val="16"/>
              </w:rPr>
              <w:t>Clareza da gama</w:t>
            </w:r>
          </w:p>
        </w:tc>
        <w:tc>
          <w:tcPr>
            <w:tcW w:type="dxa" w:w="3173"/>
            <w:vAlign w:val="center"/>
          </w:tcPr>
          <w:p>
            <w:pPr>
              <w:spacing w:after="20"/>
            </w:pPr>
            <w:r>
              <w:rPr>
                <w:sz w:val="16"/>
              </w:rPr>
              <w:t>Três produtos essenciais</w:t>
            </w:r>
          </w:p>
        </w:tc>
        <w:tc>
          <w:tcPr>
            <w:tcW w:type="dxa" w:w="3173"/>
            <w:vAlign w:val="center"/>
          </w:tcPr>
          <w:p>
            <w:pPr>
              <w:spacing w:after="20"/>
            </w:pPr>
            <w:r>
              <w:rPr>
                <w:sz w:val="16"/>
              </w:rPr>
              <w:t>Teste de compreensão e navegação</w:t>
            </w:r>
          </w:p>
        </w:tc>
      </w:tr>
      <w:tr>
        <w:tc>
          <w:tcPr>
            <w:tcW w:type="dxa" w:w="3173"/>
            <w:vAlign w:val="center"/>
          </w:tcPr>
          <w:p>
            <w:pPr>
              <w:spacing w:after="20"/>
            </w:pPr>
            <w:r>
              <w:rPr>
                <w:sz w:val="16"/>
              </w:rPr>
              <w:t>Posicionamento</w:t>
            </w:r>
          </w:p>
        </w:tc>
        <w:tc>
          <w:tcPr>
            <w:tcW w:type="dxa" w:w="3173"/>
            <w:vAlign w:val="center"/>
          </w:tcPr>
          <w:p>
            <w:pPr>
              <w:spacing w:after="20"/>
            </w:pPr>
            <w:r>
              <w:rPr>
                <w:sz w:val="16"/>
              </w:rPr>
              <w:t>Transparência e simplicidade</w:t>
            </w:r>
          </w:p>
        </w:tc>
        <w:tc>
          <w:tcPr>
            <w:tcW w:type="dxa" w:w="3173"/>
            <w:vAlign w:val="center"/>
          </w:tcPr>
          <w:p>
            <w:pPr>
              <w:spacing w:after="20"/>
            </w:pPr>
            <w:r>
              <w:rPr>
                <w:sz w:val="16"/>
              </w:rPr>
              <w:t>Entrevistas e análise de mensagens</w:t>
            </w:r>
          </w:p>
        </w:tc>
      </w:tr>
      <w:tr>
        <w:tc>
          <w:tcPr>
            <w:tcW w:type="dxa" w:w="3173"/>
            <w:vAlign w:val="center"/>
          </w:tcPr>
          <w:p>
            <w:pPr>
              <w:spacing w:after="20"/>
            </w:pPr>
            <w:r>
              <w:rPr>
                <w:sz w:val="16"/>
              </w:rPr>
              <w:t>Preço</w:t>
            </w:r>
          </w:p>
        </w:tc>
        <w:tc>
          <w:tcPr>
            <w:tcW w:type="dxa" w:w="3173"/>
            <w:vAlign w:val="center"/>
          </w:tcPr>
          <w:p>
            <w:pPr>
              <w:spacing w:after="20"/>
            </w:pPr>
            <w:r>
              <w:rPr>
                <w:sz w:val="16"/>
              </w:rPr>
              <w:t>14,90 € a 29,90 € c/ IVA</w:t>
            </w:r>
          </w:p>
        </w:tc>
        <w:tc>
          <w:tcPr>
            <w:tcW w:type="dxa" w:w="3173"/>
            <w:vAlign w:val="center"/>
          </w:tcPr>
          <w:p>
            <w:pPr>
              <w:spacing w:after="20"/>
            </w:pPr>
            <w:r>
              <w:rPr>
                <w:sz w:val="16"/>
              </w:rPr>
              <w:t>Comparação de propostas equivalentes</w:t>
            </w:r>
          </w:p>
        </w:tc>
      </w:tr>
      <w:tr>
        <w:tc>
          <w:tcPr>
            <w:tcW w:type="dxa" w:w="3173"/>
            <w:vAlign w:val="center"/>
          </w:tcPr>
          <w:p>
            <w:pPr>
              <w:spacing w:after="20"/>
            </w:pPr>
            <w:r>
              <w:rPr>
                <w:sz w:val="16"/>
              </w:rPr>
              <w:t>Experiência</w:t>
            </w:r>
          </w:p>
        </w:tc>
        <w:tc>
          <w:tcPr>
            <w:tcW w:type="dxa" w:w="3173"/>
            <w:vAlign w:val="center"/>
          </w:tcPr>
          <w:p>
            <w:pPr>
              <w:spacing w:after="20"/>
            </w:pPr>
            <w:r>
              <w:rPr>
                <w:sz w:val="16"/>
              </w:rPr>
              <w:t>Informação útil e compra sem fricção</w:t>
            </w:r>
          </w:p>
        </w:tc>
        <w:tc>
          <w:tcPr>
            <w:tcW w:type="dxa" w:w="3173"/>
            <w:vAlign w:val="center"/>
          </w:tcPr>
          <w:p>
            <w:pPr>
              <w:spacing w:after="20"/>
            </w:pPr>
            <w:r>
              <w:rPr>
                <w:sz w:val="16"/>
              </w:rPr>
              <w:t>Conversão, reclamações e satisfação</w:t>
            </w:r>
          </w:p>
        </w:tc>
      </w:tr>
    </w:tbl>
    <w:p>
      <w:r>
        <w:t>Diferenciação pretendida: uma rotina curta e compreensível, evitando alegações de superioridade não demonstradas. O posicionamento precisa de ser sustentado por formulações, documentação e serviço reais.</w:t>
      </w:r>
    </w:p>
    <w:p>
      <w:pPr>
        <w:pStyle w:val="Heading1"/>
      </w:pPr>
      <w:r>
        <w:t>6. Proposta de valor, produtos e serviços</w:t>
      </w:r>
    </w:p>
    <w:p>
      <w:r>
        <w:t>Proposta: «Cuidados faciais essenciais, com informação clara sobre a utilização e uma experiência de compra simples». Esta formulação é hipótese a testar, não afirmação de benefícios clínicos demonstrados.</w:t>
      </w:r>
    </w:p>
    <w:tbl>
      <w:tblPr>
        <w:tblStyle w:val="LightShading-Accent1"/>
        <w:tblW w:type="auto" w:w="0"/>
        <w:jc w:val="center"/>
        <w:tblLook w:firstColumn="1" w:firstRow="1" w:lastColumn="0" w:lastRow="0" w:noHBand="0" w:noVBand="1" w:val="04A0"/>
      </w:tblPr>
      <w:tblGrid>
        <w:gridCol w:w="2379"/>
        <w:gridCol w:w="2379"/>
        <w:gridCol w:w="2379"/>
        <w:gridCol w:w="2379"/>
      </w:tblGrid>
      <w:tr>
        <w:tc>
          <w:tcPr>
            <w:tcW w:type="dxa" w:w="2379"/>
            <w:vAlign w:val="center"/>
          </w:tcPr>
          <w:p>
            <w:pPr>
              <w:spacing w:after="20"/>
            </w:pPr>
            <w:r>
              <w:rPr>
                <w:sz w:val="16"/>
              </w:rPr>
              <w:t>Produto</w:t>
            </w:r>
          </w:p>
        </w:tc>
        <w:tc>
          <w:tcPr>
            <w:tcW w:type="dxa" w:w="2379"/>
            <w:vAlign w:val="center"/>
          </w:tcPr>
          <w:p>
            <w:pPr>
              <w:spacing w:after="20"/>
            </w:pPr>
            <w:r>
              <w:rPr>
                <w:sz w:val="16"/>
              </w:rPr>
              <w:t>PVP hipotético c/ IVA</w:t>
            </w:r>
          </w:p>
        </w:tc>
        <w:tc>
          <w:tcPr>
            <w:tcW w:type="dxa" w:w="2379"/>
            <w:vAlign w:val="center"/>
          </w:tcPr>
          <w:p>
            <w:pPr>
              <w:spacing w:after="20"/>
            </w:pPr>
            <w:r>
              <w:rPr>
                <w:sz w:val="16"/>
              </w:rPr>
              <w:t>Custo unitário hipotético s/ IVA</w:t>
            </w:r>
          </w:p>
        </w:tc>
        <w:tc>
          <w:tcPr>
            <w:tcW w:type="dxa" w:w="2379"/>
            <w:vAlign w:val="center"/>
          </w:tcPr>
          <w:p>
            <w:pPr>
              <w:spacing w:after="20"/>
            </w:pPr>
            <w:r>
              <w:rPr>
                <w:sz w:val="16"/>
              </w:rPr>
              <w:t>Mix</w:t>
            </w:r>
          </w:p>
        </w:tc>
      </w:tr>
      <w:tr>
        <w:tc>
          <w:tcPr>
            <w:tcW w:type="dxa" w:w="2379"/>
            <w:vAlign w:val="center"/>
          </w:tcPr>
          <w:p>
            <w:pPr>
              <w:spacing w:after="20"/>
            </w:pPr>
            <w:r>
              <w:rPr>
                <w:sz w:val="16"/>
              </w:rPr>
              <w:t>NATIVA Pure — Gel de Limpeza</w:t>
            </w:r>
          </w:p>
        </w:tc>
        <w:tc>
          <w:tcPr>
            <w:tcW w:type="dxa" w:w="2379"/>
            <w:vAlign w:val="center"/>
          </w:tcPr>
          <w:p>
            <w:pPr>
              <w:spacing w:after="20"/>
            </w:pPr>
            <w:r>
              <w:rPr>
                <w:sz w:val="16"/>
              </w:rPr>
              <w:t>14,90 €</w:t>
            </w:r>
          </w:p>
        </w:tc>
        <w:tc>
          <w:tcPr>
            <w:tcW w:type="dxa" w:w="2379"/>
            <w:vAlign w:val="center"/>
          </w:tcPr>
          <w:p>
            <w:pPr>
              <w:spacing w:after="20"/>
            </w:pPr>
            <w:r>
              <w:rPr>
                <w:sz w:val="16"/>
              </w:rPr>
              <w:t>4,10 €</w:t>
            </w:r>
          </w:p>
        </w:tc>
        <w:tc>
          <w:tcPr>
            <w:tcW w:type="dxa" w:w="2379"/>
            <w:vAlign w:val="center"/>
          </w:tcPr>
          <w:p>
            <w:pPr>
              <w:spacing w:after="20"/>
            </w:pPr>
            <w:r>
              <w:rPr>
                <w:sz w:val="16"/>
              </w:rPr>
              <w:t>40,0%</w:t>
            </w:r>
          </w:p>
        </w:tc>
      </w:tr>
      <w:tr>
        <w:tc>
          <w:tcPr>
            <w:tcW w:type="dxa" w:w="2379"/>
            <w:vAlign w:val="center"/>
          </w:tcPr>
          <w:p>
            <w:pPr>
              <w:spacing w:after="20"/>
            </w:pPr>
            <w:r>
              <w:rPr>
                <w:sz w:val="16"/>
              </w:rPr>
              <w:t>NATIVA Balance — Creme Hidratante</w:t>
            </w:r>
          </w:p>
        </w:tc>
        <w:tc>
          <w:tcPr>
            <w:tcW w:type="dxa" w:w="2379"/>
            <w:vAlign w:val="center"/>
          </w:tcPr>
          <w:p>
            <w:pPr>
              <w:spacing w:after="20"/>
            </w:pPr>
            <w:r>
              <w:rPr>
                <w:sz w:val="16"/>
              </w:rPr>
              <w:t>24,90 €</w:t>
            </w:r>
          </w:p>
        </w:tc>
        <w:tc>
          <w:tcPr>
            <w:tcW w:type="dxa" w:w="2379"/>
            <w:vAlign w:val="center"/>
          </w:tcPr>
          <w:p>
            <w:pPr>
              <w:spacing w:after="20"/>
            </w:pPr>
            <w:r>
              <w:rPr>
                <w:sz w:val="16"/>
              </w:rPr>
              <w:t>6,80 €</w:t>
            </w:r>
          </w:p>
        </w:tc>
        <w:tc>
          <w:tcPr>
            <w:tcW w:type="dxa" w:w="2379"/>
            <w:vAlign w:val="center"/>
          </w:tcPr>
          <w:p>
            <w:pPr>
              <w:spacing w:after="20"/>
            </w:pPr>
            <w:r>
              <w:rPr>
                <w:sz w:val="16"/>
              </w:rPr>
              <w:t>35,0%</w:t>
            </w:r>
          </w:p>
        </w:tc>
      </w:tr>
      <w:tr>
        <w:tc>
          <w:tcPr>
            <w:tcW w:type="dxa" w:w="2379"/>
            <w:vAlign w:val="center"/>
          </w:tcPr>
          <w:p>
            <w:pPr>
              <w:spacing w:after="20"/>
            </w:pPr>
            <w:r>
              <w:rPr>
                <w:sz w:val="16"/>
              </w:rPr>
              <w:t>NATIVA Protect — Sérum Facial</w:t>
            </w:r>
          </w:p>
        </w:tc>
        <w:tc>
          <w:tcPr>
            <w:tcW w:type="dxa" w:w="2379"/>
            <w:vAlign w:val="center"/>
          </w:tcPr>
          <w:p>
            <w:pPr>
              <w:spacing w:after="20"/>
            </w:pPr>
            <w:r>
              <w:rPr>
                <w:sz w:val="16"/>
              </w:rPr>
              <w:t>29,90 €</w:t>
            </w:r>
          </w:p>
        </w:tc>
        <w:tc>
          <w:tcPr>
            <w:tcW w:type="dxa" w:w="2379"/>
            <w:vAlign w:val="center"/>
          </w:tcPr>
          <w:p>
            <w:pPr>
              <w:spacing w:after="20"/>
            </w:pPr>
            <w:r>
              <w:rPr>
                <w:sz w:val="16"/>
              </w:rPr>
              <w:t>8,50 €</w:t>
            </w:r>
          </w:p>
        </w:tc>
        <w:tc>
          <w:tcPr>
            <w:tcW w:type="dxa" w:w="2379"/>
            <w:vAlign w:val="center"/>
          </w:tcPr>
          <w:p>
            <w:pPr>
              <w:spacing w:after="20"/>
            </w:pPr>
            <w:r>
              <w:rPr>
                <w:sz w:val="16"/>
              </w:rPr>
              <w:t>25,0%</w:t>
            </w:r>
          </w:p>
        </w:tc>
      </w:tr>
    </w:tbl>
    <w:p>
      <w:r>
        <w:t>Os preços de venda ao público incluem IVA meramente ilustrativo de 23%, usado como parâmetro do Excel; o preço grossista é assumido como 55% do PVP sem IVA. Não existem pressupostos de descontos adicionais, devoluções ou alterações de mix nesta primeira versão.</w:t>
      </w:r>
    </w:p>
    <w:p>
      <w:r>
        <w:t>Antes de qualquer venda real de cosméticos, devem ser confirmadas as exigências de segurança, pessoa responsável, ficheiro de informação sobre o produto, rotulagem, notificações aplicáveis e alegações ao abrigo da legislação da União Europeia.</w:t>
      </w:r>
    </w:p>
    <w:p>
      <w:pPr>
        <w:pStyle w:val="Heading1"/>
      </w:pPr>
      <w:r>
        <w:t>7. Estratégia empresarial e objetivos</w:t>
      </w:r>
    </w:p>
    <w:p>
      <w:r>
        <w:t>Objetivo principal: validar uma proposta de valor diferenciadora e desenvolver um modelo comercial que cubra custos e preserve liquidez. Objetivos operacionais ilustrativos: lançar três referências, construir dois canais de receita, estabelecer um sistema de acompanhamento semanal e controlar a margem por canal.</w:t>
      </w:r>
    </w:p>
    <w:tbl>
      <w:tblPr>
        <w:tblStyle w:val="LightShading-Accent1"/>
        <w:tblW w:type="auto" w:w="0"/>
        <w:jc w:val="center"/>
        <w:tblLook w:firstColumn="1" w:firstRow="1" w:lastColumn="0" w:lastRow="0" w:noHBand="0" w:noVBand="1" w:val="04A0"/>
      </w:tblPr>
      <w:tblGrid>
        <w:gridCol w:w="4759"/>
        <w:gridCol w:w="4759"/>
      </w:tblGrid>
      <w:tr>
        <w:tc>
          <w:tcPr>
            <w:tcW w:type="dxa" w:w="4759"/>
            <w:vAlign w:val="center"/>
          </w:tcPr>
          <w:p>
            <w:pPr>
              <w:spacing w:after="20"/>
            </w:pPr>
            <w:r>
              <w:rPr>
                <w:sz w:val="16"/>
              </w:rPr>
              <w:t>SWOT ilustrativa</w:t>
            </w:r>
          </w:p>
        </w:tc>
        <w:tc>
          <w:tcPr>
            <w:tcW w:type="dxa" w:w="4759"/>
            <w:vAlign w:val="center"/>
          </w:tcPr>
          <w:p>
            <w:pPr>
              <w:spacing w:after="20"/>
            </w:pPr>
            <w:r>
              <w:rPr>
                <w:sz w:val="16"/>
              </w:rPr>
              <w:t>Elementos</w:t>
            </w:r>
          </w:p>
        </w:tc>
      </w:tr>
      <w:tr>
        <w:tc>
          <w:tcPr>
            <w:tcW w:type="dxa" w:w="4759"/>
            <w:vAlign w:val="center"/>
          </w:tcPr>
          <w:p>
            <w:pPr>
              <w:spacing w:after="20"/>
            </w:pPr>
            <w:r>
              <w:rPr>
                <w:sz w:val="16"/>
              </w:rPr>
              <w:t>Forças</w:t>
            </w:r>
          </w:p>
        </w:tc>
        <w:tc>
          <w:tcPr>
            <w:tcW w:type="dxa" w:w="4759"/>
            <w:vAlign w:val="center"/>
          </w:tcPr>
          <w:p>
            <w:pPr>
              <w:spacing w:after="20"/>
            </w:pPr>
            <w:r>
              <w:rPr>
                <w:sz w:val="16"/>
              </w:rPr>
              <w:t>Gama concentrada; comunicação potencialmente clara</w:t>
            </w:r>
          </w:p>
        </w:tc>
      </w:tr>
      <w:tr>
        <w:tc>
          <w:tcPr>
            <w:tcW w:type="dxa" w:w="4759"/>
            <w:vAlign w:val="center"/>
          </w:tcPr>
          <w:p>
            <w:pPr>
              <w:spacing w:after="20"/>
            </w:pPr>
            <w:r>
              <w:rPr>
                <w:sz w:val="16"/>
              </w:rPr>
              <w:t>Fraquezas</w:t>
            </w:r>
          </w:p>
        </w:tc>
        <w:tc>
          <w:tcPr>
            <w:tcW w:type="dxa" w:w="4759"/>
            <w:vAlign w:val="center"/>
          </w:tcPr>
          <w:p>
            <w:pPr>
              <w:spacing w:after="20"/>
            </w:pPr>
            <w:r>
              <w:rPr>
                <w:sz w:val="16"/>
              </w:rPr>
              <w:t>Marca desconhecida; dependência de fabricante externo</w:t>
            </w:r>
          </w:p>
        </w:tc>
      </w:tr>
      <w:tr>
        <w:tc>
          <w:tcPr>
            <w:tcW w:type="dxa" w:w="4759"/>
            <w:vAlign w:val="center"/>
          </w:tcPr>
          <w:p>
            <w:pPr>
              <w:spacing w:after="20"/>
            </w:pPr>
            <w:r>
              <w:rPr>
                <w:sz w:val="16"/>
              </w:rPr>
              <w:t>Oportunidades</w:t>
            </w:r>
          </w:p>
        </w:tc>
        <w:tc>
          <w:tcPr>
            <w:tcW w:type="dxa" w:w="4759"/>
            <w:vAlign w:val="center"/>
          </w:tcPr>
          <w:p>
            <w:pPr>
              <w:spacing w:after="20"/>
            </w:pPr>
            <w:r>
              <w:rPr>
                <w:sz w:val="16"/>
              </w:rPr>
              <w:t>Testes digitais de aquisição e educação do consumidor</w:t>
            </w:r>
          </w:p>
        </w:tc>
      </w:tr>
      <w:tr>
        <w:tc>
          <w:tcPr>
            <w:tcW w:type="dxa" w:w="4759"/>
            <w:vAlign w:val="center"/>
          </w:tcPr>
          <w:p>
            <w:pPr>
              <w:spacing w:after="20"/>
            </w:pPr>
            <w:r>
              <w:rPr>
                <w:sz w:val="16"/>
              </w:rPr>
              <w:t>Ameaças</w:t>
            </w:r>
          </w:p>
        </w:tc>
        <w:tc>
          <w:tcPr>
            <w:tcW w:type="dxa" w:w="4759"/>
            <w:vAlign w:val="center"/>
          </w:tcPr>
          <w:p>
            <w:pPr>
              <w:spacing w:after="20"/>
            </w:pPr>
            <w:r>
              <w:rPr>
                <w:sz w:val="16"/>
              </w:rPr>
              <w:t>Pressão promocional; custos de publicidade; riscos regulatórios e de stock</w:t>
            </w:r>
          </w:p>
        </w:tc>
      </w:tr>
    </w:tbl>
    <w:p>
      <w:r>
        <w:t>Prioridades estratégicas: validar procura antes de grandes lotes, assegurar capacidade operacional, evitar descontos sem análise da contribuição e acompanhar a rentabilidade incremental de cada canal.</w:t>
      </w:r>
    </w:p>
    <w:p>
      <w:pPr>
        <w:pStyle w:val="Heading1"/>
      </w:pPr>
      <w:r>
        <w:t>8. Plano de marketing, comunicação e vendas</w:t>
      </w:r>
    </w:p>
    <w:p>
      <w:r>
        <w:t>Fase de pré-lançamento: investigação do cliente, criação de conteúdos informativos, testes de posicionamento, contactos a pontos de venda e configuração de loja com informações legais. Lançamento: campanhas digitais de pequena dimensão, conteúdos educativos, parcerias seletivas e recolha estruturada de feedback.</w:t>
      </w:r>
    </w:p>
    <w:p>
      <w:r>
        <w:t>Canais de marketing: SEO para necessidades e categorias de produto, email consentido, campanhas de pesquisa e redes sociais com medição de conversões. A gestão deverá estabelecer teto de CAC por canal baseado na contribuição esperada e no comportamento de recompra validado.</w:t>
      </w:r>
    </w:p>
    <w:p>
      <w:r>
        <w:t>Processo comercial B2B: prospeção de parceiros adequados, proposta de margem e condições, negociação, encomenda, reposição e pós-venda. E-commerce: visita, interesse, carrinho, compra, entrega e eventual recompra. Indicadores: conversão, abandono, CAC, receita por canal, margem e devoluções.</w:t>
      </w:r>
    </w:p>
    <w:p>
      <w:pPr>
        <w:pStyle w:val="Heading1"/>
      </w:pPr>
      <w:r>
        <w:t>9. Organização, recursos humanos e plano operacional</w:t>
      </w:r>
    </w:p>
    <w:p>
      <w:r>
        <w:t>Estrutura inicial fictícia: direção geral acumula estratégia, controlo e fornecedores; marketing digital e atendimento são assegurados por equipa própria ou parceiros; fabrico, armazenagem e expedição podem ser contratados mediante níveis de serviço, auditoria e termos claros de responsabilidade.</w:t>
      </w:r>
    </w:p>
    <w:p>
      <w:r>
        <w:t>Fluxo operacional: especificação do produto → verificação regulamentar → aprovação do fabricante → encomenda do lote → controlo de qualidade → receção de stock → comercialização → entrega → apoio ao cliente → análise de reclamações. O plano exige procedimentos de rastreabilidade e gestão de incidentes.</w:t>
      </w:r>
    </w:p>
    <w:p>
      <w:r>
        <w:t>Capacidade e riscos operacionais: lotes mínimos, prazos de reposição, prazo de validade, devoluções, roturas e custos logísticos devem constar das condições contratuais. O Excel simplifica o nível de stock, não substituindo um planeamento operacional detalhado.</w:t>
      </w:r>
    </w:p>
    <w:p>
      <w:pPr>
        <w:pStyle w:val="Heading1"/>
      </w:pPr>
      <w:r>
        <w:t>10. Investimento inicial, custos e fontes de financiamento</w:t>
      </w:r>
    </w:p>
    <w:tbl>
      <w:tblPr>
        <w:tblStyle w:val="LightShading-Accent1"/>
        <w:tblW w:type="auto" w:w="0"/>
        <w:jc w:val="center"/>
        <w:tblLook w:firstColumn="1" w:firstRow="1" w:lastColumn="0" w:lastRow="0" w:noHBand="0" w:noVBand="1" w:val="04A0"/>
      </w:tblPr>
      <w:tblGrid>
        <w:gridCol w:w="4759"/>
        <w:gridCol w:w="4759"/>
      </w:tblGrid>
      <w:tr>
        <w:tc>
          <w:tcPr>
            <w:tcW w:type="dxa" w:w="4759"/>
            <w:vAlign w:val="center"/>
          </w:tcPr>
          <w:p>
            <w:pPr>
              <w:spacing w:after="20"/>
            </w:pPr>
            <w:r>
              <w:rPr>
                <w:sz w:val="16"/>
              </w:rPr>
              <w:t>Aplicação / financiamento</w:t>
            </w:r>
          </w:p>
        </w:tc>
        <w:tc>
          <w:tcPr>
            <w:tcW w:type="dxa" w:w="4759"/>
            <w:vAlign w:val="center"/>
          </w:tcPr>
          <w:p>
            <w:pPr>
              <w:spacing w:after="20"/>
            </w:pPr>
            <w:r>
              <w:rPr>
                <w:sz w:val="16"/>
              </w:rPr>
              <w:t>Valor</w:t>
            </w:r>
          </w:p>
        </w:tc>
      </w:tr>
      <w:tr>
        <w:tc>
          <w:tcPr>
            <w:tcW w:type="dxa" w:w="4759"/>
            <w:vAlign w:val="center"/>
          </w:tcPr>
          <w:p>
            <w:pPr>
              <w:spacing w:after="20"/>
            </w:pPr>
            <w:r>
              <w:rPr>
                <w:sz w:val="16"/>
              </w:rPr>
              <w:t>Investimento em ativos e configuração inicial</w:t>
            </w:r>
          </w:p>
        </w:tc>
        <w:tc>
          <w:tcPr>
            <w:tcW w:type="dxa" w:w="4759"/>
            <w:vAlign w:val="center"/>
          </w:tcPr>
          <w:p>
            <w:pPr>
              <w:spacing w:after="20"/>
            </w:pPr>
            <w:r>
              <w:rPr>
                <w:sz w:val="16"/>
              </w:rPr>
              <w:t>35 000 €</w:t>
            </w:r>
          </w:p>
        </w:tc>
      </w:tr>
      <w:tr>
        <w:tc>
          <w:tcPr>
            <w:tcW w:type="dxa" w:w="4759"/>
            <w:vAlign w:val="center"/>
          </w:tcPr>
          <w:p>
            <w:pPr>
              <w:spacing w:after="20"/>
            </w:pPr>
            <w:r>
              <w:rPr>
                <w:sz w:val="16"/>
              </w:rPr>
              <w:t>Stock inicial</w:t>
            </w:r>
          </w:p>
        </w:tc>
        <w:tc>
          <w:tcPr>
            <w:tcW w:type="dxa" w:w="4759"/>
            <w:vAlign w:val="center"/>
          </w:tcPr>
          <w:p>
            <w:pPr>
              <w:spacing w:after="20"/>
            </w:pPr>
            <w:r>
              <w:rPr>
                <w:sz w:val="16"/>
              </w:rPr>
              <w:t>45 000 €</w:t>
            </w:r>
          </w:p>
        </w:tc>
      </w:tr>
      <w:tr>
        <w:tc>
          <w:tcPr>
            <w:tcW w:type="dxa" w:w="4759"/>
            <w:vAlign w:val="center"/>
          </w:tcPr>
          <w:p>
            <w:pPr>
              <w:spacing w:after="20"/>
            </w:pPr>
            <w:r>
              <w:rPr>
                <w:sz w:val="16"/>
              </w:rPr>
              <w:t>Total de aplicação inicial</w:t>
            </w:r>
          </w:p>
        </w:tc>
        <w:tc>
          <w:tcPr>
            <w:tcW w:type="dxa" w:w="4759"/>
            <w:vAlign w:val="center"/>
          </w:tcPr>
          <w:p>
            <w:pPr>
              <w:spacing w:after="20"/>
            </w:pPr>
            <w:r>
              <w:rPr>
                <w:sz w:val="16"/>
              </w:rPr>
              <w:t>80 000 €</w:t>
            </w:r>
          </w:p>
        </w:tc>
      </w:tr>
      <w:tr>
        <w:tc>
          <w:tcPr>
            <w:tcW w:type="dxa" w:w="4759"/>
            <w:vAlign w:val="center"/>
          </w:tcPr>
          <w:p>
            <w:pPr>
              <w:spacing w:after="20"/>
            </w:pPr>
            <w:r>
              <w:rPr>
                <w:sz w:val="16"/>
              </w:rPr>
              <w:t>Capital próprio</w:t>
            </w:r>
          </w:p>
        </w:tc>
        <w:tc>
          <w:tcPr>
            <w:tcW w:type="dxa" w:w="4759"/>
            <w:vAlign w:val="center"/>
          </w:tcPr>
          <w:p>
            <w:pPr>
              <w:spacing w:after="20"/>
            </w:pPr>
            <w:r>
              <w:rPr>
                <w:sz w:val="16"/>
              </w:rPr>
              <w:t>120 000 €</w:t>
            </w:r>
          </w:p>
        </w:tc>
      </w:tr>
      <w:tr>
        <w:tc>
          <w:tcPr>
            <w:tcW w:type="dxa" w:w="4759"/>
            <w:vAlign w:val="center"/>
          </w:tcPr>
          <w:p>
            <w:pPr>
              <w:spacing w:after="20"/>
            </w:pPr>
            <w:r>
              <w:rPr>
                <w:sz w:val="16"/>
              </w:rPr>
              <w:t>Empréstimo</w:t>
            </w:r>
          </w:p>
        </w:tc>
        <w:tc>
          <w:tcPr>
            <w:tcW w:type="dxa" w:w="4759"/>
            <w:vAlign w:val="center"/>
          </w:tcPr>
          <w:p>
            <w:pPr>
              <w:spacing w:after="20"/>
            </w:pPr>
            <w:r>
              <w:rPr>
                <w:sz w:val="16"/>
              </w:rPr>
              <w:t>60 000 €</w:t>
            </w:r>
          </w:p>
        </w:tc>
      </w:tr>
      <w:tr>
        <w:tc>
          <w:tcPr>
            <w:tcW w:type="dxa" w:w="4759"/>
            <w:vAlign w:val="center"/>
          </w:tcPr>
          <w:p>
            <w:pPr>
              <w:spacing w:after="20"/>
            </w:pPr>
            <w:r>
              <w:rPr>
                <w:sz w:val="16"/>
              </w:rPr>
              <w:t>Financiamento total</w:t>
            </w:r>
          </w:p>
        </w:tc>
        <w:tc>
          <w:tcPr>
            <w:tcW w:type="dxa" w:w="4759"/>
            <w:vAlign w:val="center"/>
          </w:tcPr>
          <w:p>
            <w:pPr>
              <w:spacing w:after="20"/>
            </w:pPr>
            <w:r>
              <w:rPr>
                <w:sz w:val="16"/>
              </w:rPr>
              <w:t>180 000 €</w:t>
            </w:r>
          </w:p>
        </w:tc>
      </w:tr>
      <w:tr>
        <w:tc>
          <w:tcPr>
            <w:tcW w:type="dxa" w:w="4759"/>
            <w:vAlign w:val="center"/>
          </w:tcPr>
          <w:p>
            <w:pPr>
              <w:spacing w:after="20"/>
            </w:pPr>
            <w:r>
              <w:rPr>
                <w:sz w:val="16"/>
              </w:rPr>
              <w:t>Reserva inicial de liquidez</w:t>
            </w:r>
          </w:p>
        </w:tc>
        <w:tc>
          <w:tcPr>
            <w:tcW w:type="dxa" w:w="4759"/>
            <w:vAlign w:val="center"/>
          </w:tcPr>
          <w:p>
            <w:pPr>
              <w:spacing w:after="20"/>
            </w:pPr>
            <w:r>
              <w:rPr>
                <w:sz w:val="16"/>
              </w:rPr>
              <w:t>100 000 €</w:t>
            </w:r>
          </w:p>
        </w:tc>
      </w:tr>
    </w:tbl>
    <w:p>
      <w:r>
        <w:t>Custos fixos de operação hipotéticos: 10 500 € por mês, correspondentes a 126 000 € no ano 1. Acrescem custos variáveis de produção, logística de 1,20 € por unidade e comissão de pagamento de 2,5% sobre a receita do canal direto. O empréstimo é modelado com 7% de juro anual e amortização de capital de 12 000 € por ano.</w:t>
      </w:r>
    </w:p>
    <w:p>
      <w:r>
        <w:t>O financiamento supera o investimento imediato devido à reserva de tesouraria. Um negócio real requer mapa de fontes e aplicações discriminado, justificações de capital circulante e condições bancárias documentadas.</w:t>
      </w:r>
    </w:p>
    <w:p>
      <w:pPr>
        <w:pStyle w:val="Heading1"/>
      </w:pPr>
      <w:r>
        <w:t>11. Projeções financeiras e plano de tesouraria</w:t>
      </w:r>
    </w:p>
    <w:p>
      <w:r>
        <w:t>O cenário-base prevê 23900 unidades no primeiro ano. PVP médio ponderado: 22 € com IVA por unidade; receita média reconhecida pela empresa, já ajustada à combinação de canais: 15 € sem IVA por unidade. Margem de contribuição média: 8 € por unidade, antes de custos fixos.</w:t>
      </w:r>
    </w:p>
    <w:tbl>
      <w:tblPr>
        <w:tblStyle w:val="LightShading-Accent1"/>
        <w:tblW w:type="auto" w:w="0"/>
        <w:jc w:val="center"/>
        <w:tblLook w:firstColumn="1" w:firstRow="1" w:lastColumn="0" w:lastRow="0" w:noHBand="0" w:noVBand="1" w:val="04A0"/>
      </w:tblPr>
      <w:tblGrid>
        <w:gridCol w:w="1904"/>
        <w:gridCol w:w="1904"/>
        <w:gridCol w:w="1904"/>
        <w:gridCol w:w="1904"/>
        <w:gridCol w:w="1904"/>
      </w:tblGrid>
      <w:tr>
        <w:tc>
          <w:tcPr>
            <w:tcW w:type="dxa" w:w="1904"/>
            <w:vAlign w:val="center"/>
          </w:tcPr>
          <w:p>
            <w:pPr>
              <w:spacing w:after="20"/>
            </w:pPr>
            <w:r>
              <w:rPr>
                <w:sz w:val="16"/>
              </w:rPr>
              <w:t>Ano</w:t>
            </w:r>
          </w:p>
        </w:tc>
        <w:tc>
          <w:tcPr>
            <w:tcW w:type="dxa" w:w="1904"/>
            <w:vAlign w:val="center"/>
          </w:tcPr>
          <w:p>
            <w:pPr>
              <w:spacing w:after="20"/>
            </w:pPr>
            <w:r>
              <w:rPr>
                <w:sz w:val="16"/>
              </w:rPr>
              <w:t>Unidades</w:t>
            </w:r>
          </w:p>
        </w:tc>
        <w:tc>
          <w:tcPr>
            <w:tcW w:type="dxa" w:w="1904"/>
            <w:vAlign w:val="center"/>
          </w:tcPr>
          <w:p>
            <w:pPr>
              <w:spacing w:after="20"/>
            </w:pPr>
            <w:r>
              <w:rPr>
                <w:sz w:val="16"/>
              </w:rPr>
              <w:t>Receitas sem IVA</w:t>
            </w:r>
          </w:p>
        </w:tc>
        <w:tc>
          <w:tcPr>
            <w:tcW w:type="dxa" w:w="1904"/>
            <w:vAlign w:val="center"/>
          </w:tcPr>
          <w:p>
            <w:pPr>
              <w:spacing w:after="20"/>
            </w:pPr>
            <w:r>
              <w:rPr>
                <w:sz w:val="16"/>
              </w:rPr>
              <w:t>EBITDA</w:t>
            </w:r>
          </w:p>
        </w:tc>
        <w:tc>
          <w:tcPr>
            <w:tcW w:type="dxa" w:w="1904"/>
            <w:vAlign w:val="center"/>
          </w:tcPr>
          <w:p>
            <w:pPr>
              <w:spacing w:after="20"/>
            </w:pPr>
            <w:r>
              <w:rPr>
                <w:sz w:val="16"/>
              </w:rPr>
              <w:t>Fluxo operacional livre</w:t>
            </w:r>
          </w:p>
        </w:tc>
      </w:tr>
      <w:tr>
        <w:tc>
          <w:tcPr>
            <w:tcW w:type="dxa" w:w="1904"/>
            <w:vAlign w:val="center"/>
          </w:tcPr>
          <w:p>
            <w:pPr>
              <w:spacing w:after="20"/>
            </w:pPr>
            <w:r>
              <w:rPr>
                <w:sz w:val="16"/>
              </w:rPr>
              <w:t>1</w:t>
            </w:r>
          </w:p>
        </w:tc>
        <w:tc>
          <w:tcPr>
            <w:tcW w:type="dxa" w:w="1904"/>
            <w:vAlign w:val="center"/>
          </w:tcPr>
          <w:p>
            <w:pPr>
              <w:spacing w:after="20"/>
            </w:pPr>
            <w:r>
              <w:rPr>
                <w:sz w:val="16"/>
              </w:rPr>
              <w:t>23 900</w:t>
            </w:r>
          </w:p>
        </w:tc>
        <w:tc>
          <w:tcPr>
            <w:tcW w:type="dxa" w:w="1904"/>
            <w:vAlign w:val="center"/>
          </w:tcPr>
          <w:p>
            <w:pPr>
              <w:spacing w:after="20"/>
            </w:pPr>
            <w:r>
              <w:rPr>
                <w:sz w:val="16"/>
              </w:rPr>
              <w:t>362 607 €</w:t>
            </w:r>
          </w:p>
        </w:tc>
        <w:tc>
          <w:tcPr>
            <w:tcW w:type="dxa" w:w="1904"/>
            <w:vAlign w:val="center"/>
          </w:tcPr>
          <w:p>
            <w:pPr>
              <w:spacing w:after="20"/>
            </w:pPr>
            <w:r>
              <w:rPr>
                <w:sz w:val="16"/>
              </w:rPr>
              <w:t>54 068 €</w:t>
            </w:r>
          </w:p>
        </w:tc>
        <w:tc>
          <w:tcPr>
            <w:tcW w:type="dxa" w:w="1904"/>
            <w:vAlign w:val="center"/>
          </w:tcPr>
          <w:p>
            <w:pPr>
              <w:spacing w:after="20"/>
            </w:pPr>
            <w:r>
              <w:rPr>
                <w:sz w:val="16"/>
              </w:rPr>
              <w:t>39 654 €</w:t>
            </w:r>
          </w:p>
        </w:tc>
      </w:tr>
      <w:tr>
        <w:tc>
          <w:tcPr>
            <w:tcW w:type="dxa" w:w="1904"/>
            <w:vAlign w:val="center"/>
          </w:tcPr>
          <w:p>
            <w:pPr>
              <w:spacing w:after="20"/>
            </w:pPr>
            <w:r>
              <w:rPr>
                <w:sz w:val="16"/>
              </w:rPr>
              <w:t>2</w:t>
            </w:r>
          </w:p>
        </w:tc>
        <w:tc>
          <w:tcPr>
            <w:tcW w:type="dxa" w:w="1904"/>
            <w:vAlign w:val="center"/>
          </w:tcPr>
          <w:p>
            <w:pPr>
              <w:spacing w:after="20"/>
            </w:pPr>
            <w:r>
              <w:rPr>
                <w:sz w:val="16"/>
              </w:rPr>
              <w:t>31 070</w:t>
            </w:r>
          </w:p>
        </w:tc>
        <w:tc>
          <w:tcPr>
            <w:tcW w:type="dxa" w:w="1904"/>
            <w:vAlign w:val="center"/>
          </w:tcPr>
          <w:p>
            <w:pPr>
              <w:spacing w:after="20"/>
            </w:pPr>
            <w:r>
              <w:rPr>
                <w:sz w:val="16"/>
              </w:rPr>
              <w:t>480 817 €</w:t>
            </w:r>
          </w:p>
        </w:tc>
        <w:tc>
          <w:tcPr>
            <w:tcW w:type="dxa" w:w="1904"/>
            <w:vAlign w:val="center"/>
          </w:tcPr>
          <w:p>
            <w:pPr>
              <w:spacing w:after="20"/>
            </w:pPr>
            <w:r>
              <w:rPr>
                <w:sz w:val="16"/>
              </w:rPr>
              <w:t>100 408 €</w:t>
            </w:r>
          </w:p>
        </w:tc>
        <w:tc>
          <w:tcPr>
            <w:tcW w:type="dxa" w:w="1904"/>
            <w:vAlign w:val="center"/>
          </w:tcPr>
          <w:p>
            <w:pPr>
              <w:spacing w:after="20"/>
            </w:pPr>
            <w:r>
              <w:rPr>
                <w:sz w:val="16"/>
              </w:rPr>
              <w:t>68 726 €</w:t>
            </w:r>
          </w:p>
        </w:tc>
      </w:tr>
      <w:tr>
        <w:tc>
          <w:tcPr>
            <w:tcW w:type="dxa" w:w="1904"/>
            <w:vAlign w:val="center"/>
          </w:tcPr>
          <w:p>
            <w:pPr>
              <w:spacing w:after="20"/>
            </w:pPr>
            <w:r>
              <w:rPr>
                <w:sz w:val="16"/>
              </w:rPr>
              <w:t>3</w:t>
            </w:r>
          </w:p>
        </w:tc>
        <w:tc>
          <w:tcPr>
            <w:tcW w:type="dxa" w:w="1904"/>
            <w:vAlign w:val="center"/>
          </w:tcPr>
          <w:p>
            <w:pPr>
              <w:spacing w:after="20"/>
            </w:pPr>
            <w:r>
              <w:rPr>
                <w:sz w:val="16"/>
              </w:rPr>
              <w:t>38 216</w:t>
            </w:r>
          </w:p>
        </w:tc>
        <w:tc>
          <w:tcPr>
            <w:tcW w:type="dxa" w:w="1904"/>
            <w:vAlign w:val="center"/>
          </w:tcPr>
          <w:p>
            <w:pPr>
              <w:spacing w:after="20"/>
            </w:pPr>
            <w:r>
              <w:rPr>
                <w:sz w:val="16"/>
              </w:rPr>
              <w:t>603 233 €</w:t>
            </w:r>
          </w:p>
        </w:tc>
        <w:tc>
          <w:tcPr>
            <w:tcW w:type="dxa" w:w="1904"/>
            <w:vAlign w:val="center"/>
          </w:tcPr>
          <w:p>
            <w:pPr>
              <w:spacing w:after="20"/>
            </w:pPr>
            <w:r>
              <w:rPr>
                <w:sz w:val="16"/>
              </w:rPr>
              <w:t>146 840 €</w:t>
            </w:r>
          </w:p>
        </w:tc>
        <w:tc>
          <w:tcPr>
            <w:tcW w:type="dxa" w:w="1904"/>
            <w:vAlign w:val="center"/>
          </w:tcPr>
          <w:p>
            <w:pPr>
              <w:spacing w:after="20"/>
            </w:pPr>
            <w:r>
              <w:rPr>
                <w:sz w:val="16"/>
              </w:rPr>
              <w:t>105 872 €</w:t>
            </w:r>
          </w:p>
        </w:tc>
      </w:tr>
      <w:tr>
        <w:tc>
          <w:tcPr>
            <w:tcW w:type="dxa" w:w="1904"/>
            <w:vAlign w:val="center"/>
          </w:tcPr>
          <w:p>
            <w:pPr>
              <w:spacing w:after="20"/>
            </w:pPr>
            <w:r>
              <w:rPr>
                <w:sz w:val="16"/>
              </w:rPr>
              <w:t>4</w:t>
            </w:r>
          </w:p>
        </w:tc>
        <w:tc>
          <w:tcPr>
            <w:tcW w:type="dxa" w:w="1904"/>
            <w:vAlign w:val="center"/>
          </w:tcPr>
          <w:p>
            <w:pPr>
              <w:spacing w:after="20"/>
            </w:pPr>
            <w:r>
              <w:rPr>
                <w:sz w:val="16"/>
              </w:rPr>
              <w:t>44 713</w:t>
            </w:r>
          </w:p>
        </w:tc>
        <w:tc>
          <w:tcPr>
            <w:tcW w:type="dxa" w:w="1904"/>
            <w:vAlign w:val="center"/>
          </w:tcPr>
          <w:p>
            <w:pPr>
              <w:spacing w:after="20"/>
            </w:pPr>
            <w:r>
              <w:rPr>
                <w:sz w:val="16"/>
              </w:rPr>
              <w:t>719 899 €</w:t>
            </w:r>
          </w:p>
        </w:tc>
        <w:tc>
          <w:tcPr>
            <w:tcW w:type="dxa" w:w="1904"/>
            <w:vAlign w:val="center"/>
          </w:tcPr>
          <w:p>
            <w:pPr>
              <w:spacing w:after="20"/>
            </w:pPr>
            <w:r>
              <w:rPr>
                <w:sz w:val="16"/>
              </w:rPr>
              <w:t>188 421 €</w:t>
            </w:r>
          </w:p>
        </w:tc>
        <w:tc>
          <w:tcPr>
            <w:tcW w:type="dxa" w:w="1904"/>
            <w:vAlign w:val="center"/>
          </w:tcPr>
          <w:p>
            <w:pPr>
              <w:spacing w:after="20"/>
            </w:pPr>
            <w:r>
              <w:rPr>
                <w:sz w:val="16"/>
              </w:rPr>
              <w:t>139 137 €</w:t>
            </w:r>
          </w:p>
        </w:tc>
      </w:tr>
      <w:tr>
        <w:tc>
          <w:tcPr>
            <w:tcW w:type="dxa" w:w="1904"/>
            <w:vAlign w:val="center"/>
          </w:tcPr>
          <w:p>
            <w:pPr>
              <w:spacing w:after="20"/>
            </w:pPr>
            <w:r>
              <w:rPr>
                <w:sz w:val="16"/>
              </w:rPr>
              <w:t>5</w:t>
            </w:r>
          </w:p>
        </w:tc>
        <w:tc>
          <w:tcPr>
            <w:tcW w:type="dxa" w:w="1904"/>
            <w:vAlign w:val="center"/>
          </w:tcPr>
          <w:p>
            <w:pPr>
              <w:spacing w:after="20"/>
            </w:pPr>
            <w:r>
              <w:rPr>
                <w:sz w:val="16"/>
              </w:rPr>
              <w:t>50 973</w:t>
            </w:r>
          </w:p>
        </w:tc>
        <w:tc>
          <w:tcPr>
            <w:tcW w:type="dxa" w:w="1904"/>
            <w:vAlign w:val="center"/>
          </w:tcPr>
          <w:p>
            <w:pPr>
              <w:spacing w:after="20"/>
            </w:pPr>
            <w:r>
              <w:rPr>
                <w:sz w:val="16"/>
              </w:rPr>
              <w:t>837 098 €</w:t>
            </w:r>
          </w:p>
        </w:tc>
        <w:tc>
          <w:tcPr>
            <w:tcW w:type="dxa" w:w="1904"/>
            <w:vAlign w:val="center"/>
          </w:tcPr>
          <w:p>
            <w:pPr>
              <w:spacing w:after="20"/>
            </w:pPr>
            <w:r>
              <w:rPr>
                <w:sz w:val="16"/>
              </w:rPr>
              <w:t>228 147 €</w:t>
            </w:r>
          </w:p>
        </w:tc>
        <w:tc>
          <w:tcPr>
            <w:tcW w:type="dxa" w:w="1904"/>
            <w:vAlign w:val="center"/>
          </w:tcPr>
          <w:p>
            <w:pPr>
              <w:spacing w:after="20"/>
            </w:pPr>
            <w:r>
              <w:rPr>
                <w:sz w:val="16"/>
              </w:rPr>
              <w:t>170 917 €</w:t>
            </w:r>
          </w:p>
        </w:tc>
      </w:tr>
    </w:tbl>
    <w:p>
      <w:r>
        <w:t>As receitas dos anos 2–5 partem de crescimento de volumes de 30%, 23%, 17% e 14%, respetivamente; o preço médio aumenta 2% por ano, os custos variáveis unitários 3% e os custos fixos 8%. Estas taxas são hipóteses didáticas, não projeções de mercado.</w:t>
      </w:r>
    </w:p>
    <w:p>
      <w:r>
        <w:t>A tesouraria do primeiro ano assume recebimento imediato no canal direto e um mês de atraso no grossista, com reposição de mercadoria paga no próprio mês. A reserva inicial reduz o risco de ruturas de caixa, mas o modelo não inclui liquidação efetiva de IVA, crédito de fornecedores ou devoluções. Os saldos mensais são calculados na folha «Tesouraria 12M».</w:t>
      </w:r>
    </w:p>
    <w:tbl>
      <w:tblPr>
        <w:tblStyle w:val="LightShading-Accent1"/>
        <w:tblW w:type="auto" w:w="0"/>
        <w:jc w:val="center"/>
        <w:tblLook w:firstColumn="1" w:firstRow="1" w:lastColumn="0" w:lastRow="0" w:noHBand="0" w:noVBand="1" w:val="04A0"/>
      </w:tblPr>
      <w:tblGrid>
        <w:gridCol w:w="1904"/>
        <w:gridCol w:w="1904"/>
        <w:gridCol w:w="1904"/>
        <w:gridCol w:w="1904"/>
        <w:gridCol w:w="1904"/>
      </w:tblGrid>
      <w:tr>
        <w:tc>
          <w:tcPr>
            <w:tcW w:type="dxa" w:w="1904"/>
            <w:vAlign w:val="center"/>
          </w:tcPr>
          <w:p>
            <w:pPr>
              <w:spacing w:after="20"/>
            </w:pPr>
            <w:r>
              <w:rPr>
                <w:sz w:val="16"/>
              </w:rPr>
              <w:t>Mês</w:t>
            </w:r>
          </w:p>
        </w:tc>
        <w:tc>
          <w:tcPr>
            <w:tcW w:type="dxa" w:w="1904"/>
            <w:vAlign w:val="center"/>
          </w:tcPr>
          <w:p>
            <w:pPr>
              <w:spacing w:after="20"/>
            </w:pPr>
            <w:r>
              <w:rPr>
                <w:sz w:val="16"/>
              </w:rPr>
              <w:t>Unidades</w:t>
            </w:r>
          </w:p>
        </w:tc>
        <w:tc>
          <w:tcPr>
            <w:tcW w:type="dxa" w:w="1904"/>
            <w:vAlign w:val="center"/>
          </w:tcPr>
          <w:p>
            <w:pPr>
              <w:spacing w:after="20"/>
            </w:pPr>
            <w:r>
              <w:rPr>
                <w:sz w:val="16"/>
              </w:rPr>
              <w:t>Vendas s/ IVA</w:t>
            </w:r>
          </w:p>
        </w:tc>
        <w:tc>
          <w:tcPr>
            <w:tcW w:type="dxa" w:w="1904"/>
            <w:vAlign w:val="center"/>
          </w:tcPr>
          <w:p>
            <w:pPr>
              <w:spacing w:after="20"/>
            </w:pPr>
            <w:r>
              <w:rPr>
                <w:sz w:val="16"/>
              </w:rPr>
              <w:t>Recebimentos</w:t>
            </w:r>
          </w:p>
        </w:tc>
        <w:tc>
          <w:tcPr>
            <w:tcW w:type="dxa" w:w="1904"/>
            <w:vAlign w:val="center"/>
          </w:tcPr>
          <w:p>
            <w:pPr>
              <w:spacing w:after="20"/>
            </w:pPr>
            <w:r>
              <w:rPr>
                <w:sz w:val="16"/>
              </w:rPr>
              <w:t>Saldo de caixa</w:t>
            </w:r>
          </w:p>
        </w:tc>
      </w:tr>
      <w:tr>
        <w:tc>
          <w:tcPr>
            <w:tcW w:type="dxa" w:w="1904"/>
            <w:vAlign w:val="center"/>
          </w:tcPr>
          <w:p>
            <w:pPr>
              <w:spacing w:after="20"/>
            </w:pPr>
            <w:r>
              <w:rPr>
                <w:sz w:val="16"/>
              </w:rPr>
              <w:t>1</w:t>
            </w:r>
          </w:p>
        </w:tc>
        <w:tc>
          <w:tcPr>
            <w:tcW w:type="dxa" w:w="1904"/>
            <w:vAlign w:val="center"/>
          </w:tcPr>
          <w:p>
            <w:pPr>
              <w:spacing w:after="20"/>
            </w:pPr>
            <w:r>
              <w:rPr>
                <w:sz w:val="16"/>
              </w:rPr>
              <w:t>900</w:t>
            </w:r>
          </w:p>
        </w:tc>
        <w:tc>
          <w:tcPr>
            <w:tcW w:type="dxa" w:w="1904"/>
            <w:vAlign w:val="center"/>
          </w:tcPr>
          <w:p>
            <w:pPr>
              <w:spacing w:after="20"/>
            </w:pPr>
            <w:r>
              <w:rPr>
                <w:sz w:val="16"/>
              </w:rPr>
              <w:t>13 655 €</w:t>
            </w:r>
          </w:p>
        </w:tc>
        <w:tc>
          <w:tcPr>
            <w:tcW w:type="dxa" w:w="1904"/>
            <w:vAlign w:val="center"/>
          </w:tcPr>
          <w:p>
            <w:pPr>
              <w:spacing w:after="20"/>
            </w:pPr>
            <w:r>
              <w:rPr>
                <w:sz w:val="16"/>
              </w:rPr>
              <w:t>10 535 €</w:t>
            </w:r>
          </w:p>
        </w:tc>
        <w:tc>
          <w:tcPr>
            <w:tcW w:type="dxa" w:w="1904"/>
            <w:vAlign w:val="center"/>
          </w:tcPr>
          <w:p>
            <w:pPr>
              <w:spacing w:after="20"/>
            </w:pPr>
            <w:r>
              <w:rPr>
                <w:sz w:val="16"/>
              </w:rPr>
              <w:t>91 811 €</w:t>
            </w:r>
          </w:p>
        </w:tc>
      </w:tr>
      <w:tr>
        <w:tc>
          <w:tcPr>
            <w:tcW w:type="dxa" w:w="1904"/>
            <w:vAlign w:val="center"/>
          </w:tcPr>
          <w:p>
            <w:pPr>
              <w:spacing w:after="20"/>
            </w:pPr>
            <w:r>
              <w:rPr>
                <w:sz w:val="16"/>
              </w:rPr>
              <w:t>3</w:t>
            </w:r>
          </w:p>
        </w:tc>
        <w:tc>
          <w:tcPr>
            <w:tcW w:type="dxa" w:w="1904"/>
            <w:vAlign w:val="center"/>
          </w:tcPr>
          <w:p>
            <w:pPr>
              <w:spacing w:after="20"/>
            </w:pPr>
            <w:r>
              <w:rPr>
                <w:sz w:val="16"/>
              </w:rPr>
              <w:t>1200</w:t>
            </w:r>
          </w:p>
        </w:tc>
        <w:tc>
          <w:tcPr>
            <w:tcW w:type="dxa" w:w="1904"/>
            <w:vAlign w:val="center"/>
          </w:tcPr>
          <w:p>
            <w:pPr>
              <w:spacing w:after="20"/>
            </w:pPr>
            <w:r>
              <w:rPr>
                <w:sz w:val="16"/>
              </w:rPr>
              <w:t>18 206 €</w:t>
            </w:r>
          </w:p>
        </w:tc>
        <w:tc>
          <w:tcPr>
            <w:tcW w:type="dxa" w:w="1904"/>
            <w:vAlign w:val="center"/>
          </w:tcPr>
          <w:p>
            <w:pPr>
              <w:spacing w:after="20"/>
            </w:pPr>
            <w:r>
              <w:rPr>
                <w:sz w:val="16"/>
              </w:rPr>
              <w:t>17 513 €</w:t>
            </w:r>
          </w:p>
        </w:tc>
        <w:tc>
          <w:tcPr>
            <w:tcW w:type="dxa" w:w="1904"/>
            <w:vAlign w:val="center"/>
          </w:tcPr>
          <w:p>
            <w:pPr>
              <w:spacing w:after="20"/>
            </w:pPr>
            <w:r>
              <w:rPr>
                <w:sz w:val="16"/>
              </w:rPr>
              <w:t>83 664 €</w:t>
            </w:r>
          </w:p>
        </w:tc>
      </w:tr>
      <w:tr>
        <w:tc>
          <w:tcPr>
            <w:tcW w:type="dxa" w:w="1904"/>
            <w:vAlign w:val="center"/>
          </w:tcPr>
          <w:p>
            <w:pPr>
              <w:spacing w:after="20"/>
            </w:pPr>
            <w:r>
              <w:rPr>
                <w:sz w:val="16"/>
              </w:rPr>
              <w:t>6</w:t>
            </w:r>
          </w:p>
        </w:tc>
        <w:tc>
          <w:tcPr>
            <w:tcW w:type="dxa" w:w="1904"/>
            <w:vAlign w:val="center"/>
          </w:tcPr>
          <w:p>
            <w:pPr>
              <w:spacing w:after="20"/>
            </w:pPr>
            <w:r>
              <w:rPr>
                <w:sz w:val="16"/>
              </w:rPr>
              <w:t>1800</w:t>
            </w:r>
          </w:p>
        </w:tc>
        <w:tc>
          <w:tcPr>
            <w:tcW w:type="dxa" w:w="1904"/>
            <w:vAlign w:val="center"/>
          </w:tcPr>
          <w:p>
            <w:pPr>
              <w:spacing w:after="20"/>
            </w:pPr>
            <w:r>
              <w:rPr>
                <w:sz w:val="16"/>
              </w:rPr>
              <w:t>27 309 €</w:t>
            </w:r>
          </w:p>
        </w:tc>
        <w:tc>
          <w:tcPr>
            <w:tcW w:type="dxa" w:w="1904"/>
            <w:vAlign w:val="center"/>
          </w:tcPr>
          <w:p>
            <w:pPr>
              <w:spacing w:after="20"/>
            </w:pPr>
            <w:r>
              <w:rPr>
                <w:sz w:val="16"/>
              </w:rPr>
              <w:t>26 616 €</w:t>
            </w:r>
          </w:p>
        </w:tc>
        <w:tc>
          <w:tcPr>
            <w:tcW w:type="dxa" w:w="1904"/>
            <w:vAlign w:val="center"/>
          </w:tcPr>
          <w:p>
            <w:pPr>
              <w:spacing w:after="20"/>
            </w:pPr>
            <w:r>
              <w:rPr>
                <w:sz w:val="16"/>
              </w:rPr>
              <w:t>82 268 €</w:t>
            </w:r>
          </w:p>
        </w:tc>
      </w:tr>
      <w:tr>
        <w:tc>
          <w:tcPr>
            <w:tcW w:type="dxa" w:w="1904"/>
            <w:vAlign w:val="center"/>
          </w:tcPr>
          <w:p>
            <w:pPr>
              <w:spacing w:after="20"/>
            </w:pPr>
            <w:r>
              <w:rPr>
                <w:sz w:val="16"/>
              </w:rPr>
              <w:t>9</w:t>
            </w:r>
          </w:p>
        </w:tc>
        <w:tc>
          <w:tcPr>
            <w:tcW w:type="dxa" w:w="1904"/>
            <w:vAlign w:val="center"/>
          </w:tcPr>
          <w:p>
            <w:pPr>
              <w:spacing w:after="20"/>
            </w:pPr>
            <w:r>
              <w:rPr>
                <w:sz w:val="16"/>
              </w:rPr>
              <w:t>2500</w:t>
            </w:r>
          </w:p>
        </w:tc>
        <w:tc>
          <w:tcPr>
            <w:tcW w:type="dxa" w:w="1904"/>
            <w:vAlign w:val="center"/>
          </w:tcPr>
          <w:p>
            <w:pPr>
              <w:spacing w:after="20"/>
            </w:pPr>
            <w:r>
              <w:rPr>
                <w:sz w:val="16"/>
              </w:rPr>
              <w:t>37 930 €</w:t>
            </w:r>
          </w:p>
        </w:tc>
        <w:tc>
          <w:tcPr>
            <w:tcW w:type="dxa" w:w="1904"/>
            <w:vAlign w:val="center"/>
          </w:tcPr>
          <w:p>
            <w:pPr>
              <w:spacing w:after="20"/>
            </w:pPr>
            <w:r>
              <w:rPr>
                <w:sz w:val="16"/>
              </w:rPr>
              <w:t>36 890 €</w:t>
            </w:r>
          </w:p>
        </w:tc>
        <w:tc>
          <w:tcPr>
            <w:tcW w:type="dxa" w:w="1904"/>
            <w:vAlign w:val="center"/>
          </w:tcPr>
          <w:p>
            <w:pPr>
              <w:spacing w:after="20"/>
            </w:pPr>
            <w:r>
              <w:rPr>
                <w:sz w:val="16"/>
              </w:rPr>
              <w:t>94 893 €</w:t>
            </w:r>
          </w:p>
        </w:tc>
      </w:tr>
      <w:tr>
        <w:tc>
          <w:tcPr>
            <w:tcW w:type="dxa" w:w="1904"/>
            <w:vAlign w:val="center"/>
          </w:tcPr>
          <w:p>
            <w:pPr>
              <w:spacing w:after="20"/>
            </w:pPr>
            <w:r>
              <w:rPr>
                <w:sz w:val="16"/>
              </w:rPr>
              <w:t>12</w:t>
            </w:r>
          </w:p>
        </w:tc>
        <w:tc>
          <w:tcPr>
            <w:tcW w:type="dxa" w:w="1904"/>
            <w:vAlign w:val="center"/>
          </w:tcPr>
          <w:p>
            <w:pPr>
              <w:spacing w:after="20"/>
            </w:pPr>
            <w:r>
              <w:rPr>
                <w:sz w:val="16"/>
              </w:rPr>
              <w:t>3400</w:t>
            </w:r>
          </w:p>
        </w:tc>
        <w:tc>
          <w:tcPr>
            <w:tcW w:type="dxa" w:w="1904"/>
            <w:vAlign w:val="center"/>
          </w:tcPr>
          <w:p>
            <w:pPr>
              <w:spacing w:after="20"/>
            </w:pPr>
            <w:r>
              <w:rPr>
                <w:sz w:val="16"/>
              </w:rPr>
              <w:t>51 584 €</w:t>
            </w:r>
          </w:p>
        </w:tc>
        <w:tc>
          <w:tcPr>
            <w:tcW w:type="dxa" w:w="1904"/>
            <w:vAlign w:val="center"/>
          </w:tcPr>
          <w:p>
            <w:pPr>
              <w:spacing w:after="20"/>
            </w:pPr>
            <w:r>
              <w:rPr>
                <w:sz w:val="16"/>
              </w:rPr>
              <w:t>50 544 €</w:t>
            </w:r>
          </w:p>
        </w:tc>
        <w:tc>
          <w:tcPr>
            <w:tcW w:type="dxa" w:w="1904"/>
            <w:vAlign w:val="center"/>
          </w:tcPr>
          <w:p>
            <w:pPr>
              <w:spacing w:after="20"/>
            </w:pPr>
            <w:r>
              <w:rPr>
                <w:sz w:val="16"/>
              </w:rPr>
              <w:t>117 053 €</w:t>
            </w:r>
          </w:p>
        </w:tc>
      </w:tr>
    </w:tbl>
    <w:p>
      <w:pPr>
        <w:pStyle w:val="Heading1"/>
      </w:pPr>
      <w:r>
        <w:t>12. Análise de viabilidade e rentabilidade do investimento</w:t>
      </w:r>
    </w:p>
    <w:p>
      <w:r>
        <w:t>O ponto crítico de vendas do ano 1 é de cerca de 16 724 unidades por ano, ou aproximadamente 253 729 € de receita, admitindo custos e mix constantes. No cenário-base de 23900 unidades, a atividade gera EBITDA positivo; a margem EBITDA é 14,9%.</w:t>
      </w:r>
    </w:p>
    <w:p>
      <w:r>
        <w:t>A avaliação do projeto considera investimento inicial económico de 80 000 € (capex e stock), taxa de desconto de 12%, cinco anos de fluxos de caixa operacionais livres e nenhum valor terminal ou recuperação final de stock. Com as hipóteses do modelo, o VAL é 270 958 € e a TIR é 83,2%. O cálculo exclui financiamento para avaliar o investimento na ótica operacional e não constitui aconselhamento de investimento.</w:t>
      </w:r>
    </w:p>
    <w:p>
      <w:r>
        <w:t>A interpretação deve ser prudente: a TIR e o VAL podem parecer atrativos quando a empresa parte de premissas de venda ou crescimento não testadas. A viabilidade comercial real depende da comprovação de procura, estrutura de custos, conformidade e execução.</w:t>
      </w:r>
    </w:p>
    <w:p>
      <w:pPr>
        <w:pStyle w:val="Heading1"/>
      </w:pPr>
      <w:r>
        <w:t>13. Análise de riscos e construção de cenários</w:t>
      </w:r>
    </w:p>
    <w:p>
      <w:r>
        <w:t>Principais riscos: procura abaixo do previsto, custo de aquisição elevado, atrasos de reposição, concentração de fornecedores, alterações ao custo unitário, devoluções e incapacidade de cumprir regras específicas da cosmética. Cada risco deve ter responsável, probabilidade, impacto, medidas preventivas e indicador de alerta.</w:t>
      </w:r>
    </w:p>
    <w:tbl>
      <w:tblPr>
        <w:tblStyle w:val="LightShading-Accent1"/>
        <w:tblW w:type="auto" w:w="0"/>
        <w:jc w:val="center"/>
        <w:tblLook w:firstColumn="1" w:firstRow="1" w:lastColumn="0" w:lastRow="0" w:noHBand="0" w:noVBand="1" w:val="04A0"/>
      </w:tblPr>
      <w:tblGrid>
        <w:gridCol w:w="2379"/>
        <w:gridCol w:w="2379"/>
        <w:gridCol w:w="2379"/>
        <w:gridCol w:w="2379"/>
      </w:tblGrid>
      <w:tr>
        <w:tc>
          <w:tcPr>
            <w:tcW w:type="dxa" w:w="2379"/>
            <w:vAlign w:val="center"/>
          </w:tcPr>
          <w:p>
            <w:pPr>
              <w:spacing w:after="20"/>
            </w:pPr>
            <w:r>
              <w:rPr>
                <w:sz w:val="16"/>
              </w:rPr>
              <w:t>Cenário</w:t>
            </w:r>
          </w:p>
        </w:tc>
        <w:tc>
          <w:tcPr>
            <w:tcW w:type="dxa" w:w="2379"/>
            <w:vAlign w:val="center"/>
          </w:tcPr>
          <w:p>
            <w:pPr>
              <w:spacing w:after="20"/>
            </w:pPr>
            <w:r>
              <w:rPr>
                <w:sz w:val="16"/>
              </w:rPr>
              <w:t>Unidades</w:t>
            </w:r>
          </w:p>
        </w:tc>
        <w:tc>
          <w:tcPr>
            <w:tcW w:type="dxa" w:w="2379"/>
            <w:vAlign w:val="center"/>
          </w:tcPr>
          <w:p>
            <w:pPr>
              <w:spacing w:after="20"/>
            </w:pPr>
            <w:r>
              <w:rPr>
                <w:sz w:val="16"/>
              </w:rPr>
              <w:t>Receitas s/ IVA</w:t>
            </w:r>
          </w:p>
        </w:tc>
        <w:tc>
          <w:tcPr>
            <w:tcW w:type="dxa" w:w="2379"/>
            <w:vAlign w:val="center"/>
          </w:tcPr>
          <w:p>
            <w:pPr>
              <w:spacing w:after="20"/>
            </w:pPr>
            <w:r>
              <w:rPr>
                <w:sz w:val="16"/>
              </w:rPr>
              <w:t>EBITDA</w:t>
            </w:r>
          </w:p>
        </w:tc>
      </w:tr>
      <w:tr>
        <w:tc>
          <w:tcPr>
            <w:tcW w:type="dxa" w:w="2379"/>
            <w:vAlign w:val="center"/>
          </w:tcPr>
          <w:p>
            <w:pPr>
              <w:spacing w:after="20"/>
            </w:pPr>
            <w:r>
              <w:rPr>
                <w:sz w:val="16"/>
              </w:rPr>
              <w:t>Conservador</w:t>
            </w:r>
          </w:p>
        </w:tc>
        <w:tc>
          <w:tcPr>
            <w:tcW w:type="dxa" w:w="2379"/>
            <w:vAlign w:val="center"/>
          </w:tcPr>
          <w:p>
            <w:pPr>
              <w:spacing w:after="20"/>
            </w:pPr>
            <w:r>
              <w:rPr>
                <w:sz w:val="16"/>
              </w:rPr>
              <w:t>19 120</w:t>
            </w:r>
          </w:p>
        </w:tc>
        <w:tc>
          <w:tcPr>
            <w:tcW w:type="dxa" w:w="2379"/>
            <w:vAlign w:val="center"/>
          </w:tcPr>
          <w:p>
            <w:pPr>
              <w:spacing w:after="20"/>
            </w:pPr>
            <w:r>
              <w:rPr>
                <w:sz w:val="16"/>
              </w:rPr>
              <w:t>275 581 €</w:t>
            </w:r>
          </w:p>
        </w:tc>
        <w:tc>
          <w:tcPr>
            <w:tcW w:type="dxa" w:w="2379"/>
            <w:vAlign w:val="center"/>
          </w:tcPr>
          <w:p>
            <w:pPr>
              <w:spacing w:after="20"/>
            </w:pPr>
            <w:r>
              <w:rPr>
                <w:sz w:val="16"/>
              </w:rPr>
              <w:t>3 830 €</w:t>
            </w:r>
          </w:p>
        </w:tc>
      </w:tr>
      <w:tr>
        <w:tc>
          <w:tcPr>
            <w:tcW w:type="dxa" w:w="2379"/>
            <w:vAlign w:val="center"/>
          </w:tcPr>
          <w:p>
            <w:pPr>
              <w:spacing w:after="20"/>
            </w:pPr>
            <w:r>
              <w:rPr>
                <w:sz w:val="16"/>
              </w:rPr>
              <w:t>Base</w:t>
            </w:r>
          </w:p>
        </w:tc>
        <w:tc>
          <w:tcPr>
            <w:tcW w:type="dxa" w:w="2379"/>
            <w:vAlign w:val="center"/>
          </w:tcPr>
          <w:p>
            <w:pPr>
              <w:spacing w:after="20"/>
            </w:pPr>
            <w:r>
              <w:rPr>
                <w:sz w:val="16"/>
              </w:rPr>
              <w:t>23 900</w:t>
            </w:r>
          </w:p>
        </w:tc>
        <w:tc>
          <w:tcPr>
            <w:tcW w:type="dxa" w:w="2379"/>
            <w:vAlign w:val="center"/>
          </w:tcPr>
          <w:p>
            <w:pPr>
              <w:spacing w:after="20"/>
            </w:pPr>
            <w:r>
              <w:rPr>
                <w:sz w:val="16"/>
              </w:rPr>
              <w:t>362 607 €</w:t>
            </w:r>
          </w:p>
        </w:tc>
        <w:tc>
          <w:tcPr>
            <w:tcW w:type="dxa" w:w="2379"/>
            <w:vAlign w:val="center"/>
          </w:tcPr>
          <w:p>
            <w:pPr>
              <w:spacing w:after="20"/>
            </w:pPr>
            <w:r>
              <w:rPr>
                <w:sz w:val="16"/>
              </w:rPr>
              <w:t>54 068 €</w:t>
            </w:r>
          </w:p>
        </w:tc>
      </w:tr>
      <w:tr>
        <w:tc>
          <w:tcPr>
            <w:tcW w:type="dxa" w:w="2379"/>
            <w:vAlign w:val="center"/>
          </w:tcPr>
          <w:p>
            <w:pPr>
              <w:spacing w:after="20"/>
            </w:pPr>
            <w:r>
              <w:rPr>
                <w:sz w:val="16"/>
              </w:rPr>
              <w:t>Otimista</w:t>
            </w:r>
          </w:p>
        </w:tc>
        <w:tc>
          <w:tcPr>
            <w:tcW w:type="dxa" w:w="2379"/>
            <w:vAlign w:val="center"/>
          </w:tcPr>
          <w:p>
            <w:pPr>
              <w:spacing w:after="20"/>
            </w:pPr>
            <w:r>
              <w:rPr>
                <w:sz w:val="16"/>
              </w:rPr>
              <w:t>28 680</w:t>
            </w:r>
          </w:p>
        </w:tc>
        <w:tc>
          <w:tcPr>
            <w:tcW w:type="dxa" w:w="2379"/>
            <w:vAlign w:val="center"/>
          </w:tcPr>
          <w:p>
            <w:pPr>
              <w:spacing w:after="20"/>
            </w:pPr>
            <w:r>
              <w:rPr>
                <w:sz w:val="16"/>
              </w:rPr>
              <w:t>448 183 €</w:t>
            </w:r>
          </w:p>
        </w:tc>
        <w:tc>
          <w:tcPr>
            <w:tcW w:type="dxa" w:w="2379"/>
            <w:vAlign w:val="center"/>
          </w:tcPr>
          <w:p>
            <w:pPr>
              <w:spacing w:after="20"/>
            </w:pPr>
            <w:r>
              <w:rPr>
                <w:sz w:val="16"/>
              </w:rPr>
              <w:t>102 883 €</w:t>
            </w:r>
          </w:p>
        </w:tc>
      </w:tr>
    </w:tbl>
    <w:p>
      <w:r>
        <w:t>Os cenários combinam variações de volume (-20%, 0%, +20%) e preço (-5%, 0%, +3%), mantendo o custo unitário para isolar o impacto. Não representam probabilidades de ocorrência, nem incluem todas as fontes de risco. Um projeto real requer stress test de CAC, custos fixos, prazos de recebimento, IVA e inventário.</w:t>
      </w:r>
    </w:p>
    <w:p>
      <w:pPr>
        <w:pStyle w:val="Heading1"/>
      </w:pPr>
      <w:r>
        <w:t>14. Plano de implementação, calendário e KPIs</w:t>
      </w:r>
    </w:p>
    <w:tbl>
      <w:tblPr>
        <w:tblStyle w:val="LightShading-Accent1"/>
        <w:tblW w:type="auto" w:w="0"/>
        <w:jc w:val="center"/>
        <w:tblLook w:firstColumn="1" w:firstRow="1" w:lastColumn="0" w:lastRow="0" w:noHBand="0" w:noVBand="1" w:val="04A0"/>
      </w:tblPr>
      <w:tblGrid>
        <w:gridCol w:w="3173"/>
        <w:gridCol w:w="3173"/>
        <w:gridCol w:w="3173"/>
      </w:tblGrid>
      <w:tr>
        <w:tc>
          <w:tcPr>
            <w:tcW w:type="dxa" w:w="3173"/>
            <w:vAlign w:val="center"/>
          </w:tcPr>
          <w:p>
            <w:pPr>
              <w:spacing w:after="20"/>
            </w:pPr>
            <w:r>
              <w:rPr>
                <w:sz w:val="16"/>
              </w:rPr>
              <w:t>Fase</w:t>
            </w:r>
          </w:p>
        </w:tc>
        <w:tc>
          <w:tcPr>
            <w:tcW w:type="dxa" w:w="3173"/>
            <w:vAlign w:val="center"/>
          </w:tcPr>
          <w:p>
            <w:pPr>
              <w:spacing w:after="20"/>
            </w:pPr>
            <w:r>
              <w:rPr>
                <w:sz w:val="16"/>
              </w:rPr>
              <w:t>Prazo indicativo</w:t>
            </w:r>
          </w:p>
        </w:tc>
        <w:tc>
          <w:tcPr>
            <w:tcW w:type="dxa" w:w="3173"/>
            <w:vAlign w:val="center"/>
          </w:tcPr>
          <w:p>
            <w:pPr>
              <w:spacing w:after="20"/>
            </w:pPr>
            <w:r>
              <w:rPr>
                <w:sz w:val="16"/>
              </w:rPr>
              <w:t>Entregável / critério</w:t>
            </w:r>
          </w:p>
        </w:tc>
      </w:tr>
      <w:tr>
        <w:tc>
          <w:tcPr>
            <w:tcW w:type="dxa" w:w="3173"/>
            <w:vAlign w:val="center"/>
          </w:tcPr>
          <w:p>
            <w:pPr>
              <w:spacing w:after="20"/>
            </w:pPr>
            <w:r>
              <w:rPr>
                <w:sz w:val="16"/>
              </w:rPr>
              <w:t>Preparação</w:t>
            </w:r>
          </w:p>
        </w:tc>
        <w:tc>
          <w:tcPr>
            <w:tcW w:type="dxa" w:w="3173"/>
            <w:vAlign w:val="center"/>
          </w:tcPr>
          <w:p>
            <w:pPr>
              <w:spacing w:after="20"/>
            </w:pPr>
            <w:r>
              <w:rPr>
                <w:sz w:val="16"/>
              </w:rPr>
              <w:t>Meses -3 a -2</w:t>
            </w:r>
          </w:p>
        </w:tc>
        <w:tc>
          <w:tcPr>
            <w:tcW w:type="dxa" w:w="3173"/>
            <w:vAlign w:val="center"/>
          </w:tcPr>
          <w:p>
            <w:pPr>
              <w:spacing w:after="20"/>
            </w:pPr>
            <w:r>
              <w:rPr>
                <w:sz w:val="16"/>
              </w:rPr>
              <w:t>Pesquisa, parceiro de fabrico, estudo de segurança e plano comercial</w:t>
            </w:r>
          </w:p>
        </w:tc>
      </w:tr>
      <w:tr>
        <w:tc>
          <w:tcPr>
            <w:tcW w:type="dxa" w:w="3173"/>
            <w:vAlign w:val="center"/>
          </w:tcPr>
          <w:p>
            <w:pPr>
              <w:spacing w:after="20"/>
            </w:pPr>
            <w:r>
              <w:rPr>
                <w:sz w:val="16"/>
              </w:rPr>
              <w:t>Pré-lançamento</w:t>
            </w:r>
          </w:p>
        </w:tc>
        <w:tc>
          <w:tcPr>
            <w:tcW w:type="dxa" w:w="3173"/>
            <w:vAlign w:val="center"/>
          </w:tcPr>
          <w:p>
            <w:pPr>
              <w:spacing w:after="20"/>
            </w:pPr>
            <w:r>
              <w:rPr>
                <w:sz w:val="16"/>
              </w:rPr>
              <w:t>Mês -1</w:t>
            </w:r>
          </w:p>
        </w:tc>
        <w:tc>
          <w:tcPr>
            <w:tcW w:type="dxa" w:w="3173"/>
            <w:vAlign w:val="center"/>
          </w:tcPr>
          <w:p>
            <w:pPr>
              <w:spacing w:after="20"/>
            </w:pPr>
            <w:r>
              <w:rPr>
                <w:sz w:val="16"/>
              </w:rPr>
              <w:t>Loja testada, stock conforme, conteúdo e processos de atendimento</w:t>
            </w:r>
          </w:p>
        </w:tc>
      </w:tr>
      <w:tr>
        <w:tc>
          <w:tcPr>
            <w:tcW w:type="dxa" w:w="3173"/>
            <w:vAlign w:val="center"/>
          </w:tcPr>
          <w:p>
            <w:pPr>
              <w:spacing w:after="20"/>
            </w:pPr>
            <w:r>
              <w:rPr>
                <w:sz w:val="16"/>
              </w:rPr>
              <w:t>Lançamento</w:t>
            </w:r>
          </w:p>
        </w:tc>
        <w:tc>
          <w:tcPr>
            <w:tcW w:type="dxa" w:w="3173"/>
            <w:vAlign w:val="center"/>
          </w:tcPr>
          <w:p>
            <w:pPr>
              <w:spacing w:after="20"/>
            </w:pPr>
            <w:r>
              <w:rPr>
                <w:sz w:val="16"/>
              </w:rPr>
              <w:t>Meses 1 a 3</w:t>
            </w:r>
          </w:p>
        </w:tc>
        <w:tc>
          <w:tcPr>
            <w:tcW w:type="dxa" w:w="3173"/>
            <w:vAlign w:val="center"/>
          </w:tcPr>
          <w:p>
            <w:pPr>
              <w:spacing w:after="20"/>
            </w:pPr>
            <w:r>
              <w:rPr>
                <w:sz w:val="16"/>
              </w:rPr>
              <w:t>Vendas-piloto, análise semanal de margem e CAC</w:t>
            </w:r>
          </w:p>
        </w:tc>
      </w:tr>
      <w:tr>
        <w:tc>
          <w:tcPr>
            <w:tcW w:type="dxa" w:w="3173"/>
            <w:vAlign w:val="center"/>
          </w:tcPr>
          <w:p>
            <w:pPr>
              <w:spacing w:after="20"/>
            </w:pPr>
            <w:r>
              <w:rPr>
                <w:sz w:val="16"/>
              </w:rPr>
              <w:t>Ajustamento</w:t>
            </w:r>
          </w:p>
        </w:tc>
        <w:tc>
          <w:tcPr>
            <w:tcW w:type="dxa" w:w="3173"/>
            <w:vAlign w:val="center"/>
          </w:tcPr>
          <w:p>
            <w:pPr>
              <w:spacing w:after="20"/>
            </w:pPr>
            <w:r>
              <w:rPr>
                <w:sz w:val="16"/>
              </w:rPr>
              <w:t>Meses 4 a 6</w:t>
            </w:r>
          </w:p>
        </w:tc>
        <w:tc>
          <w:tcPr>
            <w:tcW w:type="dxa" w:w="3173"/>
            <w:vAlign w:val="center"/>
          </w:tcPr>
          <w:p>
            <w:pPr>
              <w:spacing w:after="20"/>
            </w:pPr>
            <w:r>
              <w:rPr>
                <w:sz w:val="16"/>
              </w:rPr>
              <w:t>Revisão de mix, fornecedores e canais</w:t>
            </w:r>
          </w:p>
        </w:tc>
      </w:tr>
      <w:tr>
        <w:tc>
          <w:tcPr>
            <w:tcW w:type="dxa" w:w="3173"/>
            <w:vAlign w:val="center"/>
          </w:tcPr>
          <w:p>
            <w:pPr>
              <w:spacing w:after="20"/>
            </w:pPr>
            <w:r>
              <w:rPr>
                <w:sz w:val="16"/>
              </w:rPr>
              <w:t>Consolidação</w:t>
            </w:r>
          </w:p>
        </w:tc>
        <w:tc>
          <w:tcPr>
            <w:tcW w:type="dxa" w:w="3173"/>
            <w:vAlign w:val="center"/>
          </w:tcPr>
          <w:p>
            <w:pPr>
              <w:spacing w:after="20"/>
            </w:pPr>
            <w:r>
              <w:rPr>
                <w:sz w:val="16"/>
              </w:rPr>
              <w:t>Meses 7 a 12</w:t>
            </w:r>
          </w:p>
        </w:tc>
        <w:tc>
          <w:tcPr>
            <w:tcW w:type="dxa" w:w="3173"/>
            <w:vAlign w:val="center"/>
          </w:tcPr>
          <w:p>
            <w:pPr>
              <w:spacing w:after="20"/>
            </w:pPr>
            <w:r>
              <w:rPr>
                <w:sz w:val="16"/>
              </w:rPr>
              <w:t>Decisão sobre escala, novos parceiros e financiamento</w:t>
            </w:r>
          </w:p>
        </w:tc>
      </w:tr>
    </w:tbl>
    <w:p>
      <w:r>
        <w:t>KPIs e responsabilidades: vendas mensais (direção comercial), contribuição por canal (controlo de gestão), CAC e conversão (marketing), margem EBITDA e tesouraria (direção financeira), taxa de devoluções e cumprimento de entrega (operações). Cada KPI deverá ter fórmula, fonte, meta e frequência de revisão.</w:t>
      </w:r>
    </w:p>
    <w:p>
      <w:pPr>
        <w:pStyle w:val="Heading1"/>
      </w:pPr>
      <w:r>
        <w:t>15. Monitorização, revisão e decisão de investimento</w:t>
      </w:r>
    </w:p>
    <w:p>
      <w:r>
        <w:t>Ritmo de controlo: dashboard semanal no lançamento, revisão mensal de resultados e caixa, revisão trimestral de cenários e reformulação anual do plano. As decisões devem registar hipótese inicial, dado observado, ação tomada, responsável e data.</w:t>
      </w:r>
    </w:p>
    <w:p>
      <w:r>
        <w:t>Gatilhos de gestão exemplificativos: duas revisões consecutivas abaixo do plano de contribuição; caixa projetada insuficiente para compromissos; CAC incompatível com contribuição e recompra; falhas recorrentes de qualidade ou prazos. A resposta poderá ser reduzir investimento publicitário, renegociar fornecimentos, redefinir o mix ou adiar expansão.</w:t>
      </w:r>
    </w:p>
    <w:p>
      <w:r>
        <w:t>Decisão final no caso fictício: projeto potencialmente interessante apenas no cenário definido, mas a aprovação definitiva exige testes comerciais, estudo regulatório, revisão de custos reais, verificação dos contratos e validação financeira externa. A sustentabilidade económica não deve ser inferida apenas do EBITDA ou do VAL.</w:t>
      </w:r>
    </w:p>
    <w:p>
      <w:pPr>
        <w:pStyle w:val="Heading1"/>
      </w:pPr>
      <w:r>
        <w:t>Anexo A — Glossário financeiro essencial</w:t>
      </w:r>
    </w:p>
    <w:p>
      <w:pPr>
        <w:pStyle w:val="ListBullet"/>
      </w:pPr>
      <w:r>
        <w:t>Receita sem IVA: valor contabilístico das vendas sem imposto sobre o consumo.</w:t>
      </w:r>
    </w:p>
    <w:p>
      <w:pPr>
        <w:pStyle w:val="ListBullet"/>
      </w:pPr>
      <w:r>
        <w:t>Margem de contribuição: receita menos custos variáveis diretamente associados.</w:t>
      </w:r>
    </w:p>
    <w:p>
      <w:pPr>
        <w:pStyle w:val="ListBullet"/>
      </w:pPr>
      <w:r>
        <w:t>EBITDA: resultado antes de juros, impostos, depreciações e amortizações; não é fluxo de caixa.</w:t>
      </w:r>
    </w:p>
    <w:p>
      <w:pPr>
        <w:pStyle w:val="ListBullet"/>
      </w:pPr>
      <w:r>
        <w:t>Ponto crítico: quantidade em que a contribuição cobre os custos fixos incluídos no cálculo.</w:t>
      </w:r>
    </w:p>
    <w:p>
      <w:pPr>
        <w:pStyle w:val="ListBullet"/>
      </w:pPr>
      <w:r>
        <w:t>VAL: soma dos fluxos descontados menos investimento inicial.</w:t>
      </w:r>
    </w:p>
    <w:p>
      <w:pPr>
        <w:pStyle w:val="ListBullet"/>
      </w:pPr>
      <w:r>
        <w:t>TIR: taxa de desconto que anula o VAL, quando matematicamente definida.</w:t>
      </w:r>
    </w:p>
    <w:p>
      <w:pPr>
        <w:pStyle w:val="ListBullet"/>
      </w:pPr>
      <w:r>
        <w:t>Fundo de maneio: recursos ligados a inventário, clientes e fornecedores.</w:t>
      </w:r>
    </w:p>
    <w:p>
      <w:pPr>
        <w:pStyle w:val="ListBullet"/>
      </w:pPr>
      <w:r>
        <w:t>Custo de aquisição de cliente: custos comerciais e de marketing atribuíveis divididos pelos novos clientes, com âmbito definido.</w:t>
      </w:r>
    </w:p>
    <w:p>
      <w:pPr>
        <w:pStyle w:val="Heading1"/>
      </w:pPr>
      <w:r>
        <w:t>Anexo B — Referências e limitações</w:t>
      </w:r>
    </w:p>
    <w:p>
      <w:pPr>
        <w:pStyle w:val="ListBullet"/>
      </w:pPr>
      <w:r>
        <w:t>IAPMEI — Guias e manuais de apoio ao empreendedorismo: https://www.iapmei.pt/pt/saber-mais/empreendedorismo-e-inovacao/empreendedorismo/guias-e-manuais-de-apoio/</w:t>
      </w:r>
    </w:p>
    <w:p>
      <w:pPr>
        <w:pStyle w:val="ListBullet"/>
      </w:pPr>
      <w:r>
        <w:t>U.S. Small Business Administration — Write Your Business Plan: https://www.sba.gov/business-guide/plan-your-business/write-your-business-plan</w:t>
      </w:r>
    </w:p>
    <w:p>
      <w:pPr>
        <w:pStyle w:val="ListBullet"/>
      </w:pPr>
      <w:r>
        <w:t>Business.gov.au — Develop Your Business Plan: https://business.gov.au/planning/business-plans/develop-your-business-plan</w:t>
      </w:r>
    </w:p>
    <w:p>
      <w:pPr>
        <w:pStyle w:val="ListBullet"/>
      </w:pPr>
      <w:r>
        <w:t>Regulamento (CE) n.º 1223/2009 do Parlamento Europeu e do Conselho relativo aos produtos cosméticos.</w:t>
      </w:r>
    </w:p>
    <w:p>
      <w:r>
        <w:t>Limitação técnica: o Excel utiliza um modelo financeiro didático simplificado. Não contempla vendas devolvidas, crédito de IVA liquidado/dedutível, todas as exigências contabilísticas, retenções fiscais, diferenças de calendário de imposto ou recuperação final de stock. As hipóteses não constituem dados de mercado. Sempre que um parâmetro for alterado no Excel, os valores deste documento deixam de representar a nova simulação e devem ser atualizados.</w:t>
      </w:r>
    </w:p>
    <w:p>
      <w:r>
        <w:t>© Luís Valente 360° — Caso prático original para fins educativos. A empresa NATIVA e os valores apresentados são fictícios.</w:t>
      </w:r>
    </w:p>
    <w:sectPr w:rsidR="00FC693F" w:rsidRPr="0006063C" w:rsidSect="00034616">
      <w:headerReference w:type="default" r:id="rId9"/>
      <w:footerReference w:type="default" r:id="rId10"/>
      <w:pgSz w:w="12240" w:h="15840"/>
      <w:pgMar w:top="1247" w:right="1361" w:bottom="1134" w:left="136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luisvalente360.pt   •   NATIVA — Caso fictício didático   •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B48A55"/>
      </w:rPr>
      <w:t>LUÍS VALENTE 360°   |   CASO PRÁTICO DE GESTÃO</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ptos" w:hAnsi="Aptos"/>
      <w:color w:val="4B5965"/>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00"/>
      <w:outlineLvl w:val="0"/>
    </w:pPr>
    <w:rPr>
      <w:rFonts w:asciiTheme="majorHAnsi" w:eastAsiaTheme="majorEastAsia" w:hAnsiTheme="majorHAnsi" w:cstheme="majorBidi" w:ascii="Aptos Display" w:hAnsi="Aptos Display"/>
      <w:b/>
      <w:bCs/>
      <w:color w:val="142B40"/>
      <w:sz w:val="32"/>
      <w:szCs w:val="28"/>
    </w:rPr>
  </w:style>
  <w:style w:type="paragraph" w:styleId="Heading2">
    <w:name w:val="heading 2"/>
    <w:basedOn w:val="Normal"/>
    <w:next w:val="Normal"/>
    <w:link w:val="Heading2Char"/>
    <w:uiPriority w:val="9"/>
    <w:unhideWhenUsed/>
    <w:qFormat/>
    <w:rsid w:val="00FC693F"/>
    <w:pPr>
      <w:keepNext/>
      <w:keepLines/>
      <w:spacing w:before="260" w:after="100"/>
      <w:outlineLvl w:val="1"/>
    </w:pPr>
    <w:rPr>
      <w:rFonts w:asciiTheme="majorHAnsi" w:eastAsiaTheme="majorEastAsia" w:hAnsiTheme="majorHAnsi" w:cstheme="majorBidi" w:ascii="Aptos Display" w:hAnsi="Aptos Display"/>
      <w:b/>
      <w:bCs/>
      <w:color w:val="142B4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260"/>
      <w:contextualSpacing/>
    </w:pPr>
    <w:rPr>
      <w:rFonts w:asciiTheme="majorHAnsi" w:eastAsiaTheme="majorEastAsia" w:hAnsiTheme="majorHAnsi" w:cstheme="majorBidi" w:ascii="Aptos Display" w:hAnsi="Aptos Display"/>
      <w:b/>
      <w:color w:val="142B40"/>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